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8AB0A3">
      <w:pPr>
        <w:spacing w:before="120" w:after="120" w:line="360" w:lineRule="auto"/>
        <w:jc w:val="center"/>
        <w:rPr>
          <w:rFonts w:hint="eastAsia" w:ascii="宋体" w:hAnsi="宋体" w:eastAsia="宋体" w:cs="宋体"/>
          <w:b/>
          <w:bCs/>
          <w:color w:val="auto"/>
          <w:sz w:val="48"/>
          <w:szCs w:val="48"/>
          <w:highlight w:val="none"/>
          <w:lang w:val="en-US" w:eastAsia="zh-CN"/>
        </w:rPr>
      </w:pPr>
      <w:bookmarkStart w:id="0" w:name="_Toc120614210"/>
      <w:bookmarkStart w:id="1" w:name="_Toc479757206"/>
      <w:bookmarkStart w:id="2" w:name="_Toc20823272"/>
      <w:bookmarkStart w:id="3" w:name="_Toc513029200"/>
      <w:bookmarkStart w:id="4" w:name="_Toc16938516"/>
      <w:bookmarkStart w:id="5" w:name="_Toc523127445"/>
      <w:r>
        <w:rPr>
          <w:rFonts w:hint="eastAsia" w:ascii="宋体" w:hAnsi="宋体" w:eastAsia="宋体" w:cs="宋体"/>
          <w:b/>
          <w:bCs/>
          <w:color w:val="auto"/>
          <w:sz w:val="48"/>
          <w:szCs w:val="48"/>
          <w:highlight w:val="none"/>
          <w:lang w:val="en-US" w:eastAsia="zh-CN"/>
        </w:rPr>
        <w:t>北沿江高铁启东西站配套道路（世纪大道西延、启迪路）安全环保咨询服务项目</w:t>
      </w:r>
    </w:p>
    <w:p w14:paraId="49069CBA">
      <w:pPr>
        <w:pStyle w:val="2"/>
        <w:rPr>
          <w:rFonts w:hint="eastAsia" w:ascii="宋体" w:hAnsi="宋体" w:eastAsia="宋体" w:cs="宋体"/>
          <w:b/>
          <w:color w:val="auto"/>
          <w:sz w:val="32"/>
          <w:szCs w:val="32"/>
          <w:highlight w:val="none"/>
          <w:lang w:eastAsia="zh-CN"/>
        </w:rPr>
      </w:pPr>
    </w:p>
    <w:p w14:paraId="00FD3A50">
      <w:pPr>
        <w:rPr>
          <w:rFonts w:hint="eastAsia" w:ascii="宋体" w:hAnsi="宋体" w:eastAsia="宋体" w:cs="宋体"/>
          <w:color w:val="auto"/>
          <w:highlight w:val="none"/>
          <w:lang w:eastAsia="zh-CN"/>
        </w:rPr>
      </w:pPr>
    </w:p>
    <w:p w14:paraId="5F024055">
      <w:pPr>
        <w:spacing w:before="120" w:after="120" w:line="360" w:lineRule="auto"/>
        <w:jc w:val="center"/>
        <w:rPr>
          <w:rFonts w:hint="eastAsia" w:ascii="宋体" w:hAnsi="宋体" w:eastAsia="宋体" w:cs="宋体"/>
          <w:b/>
          <w:color w:val="auto"/>
          <w:sz w:val="84"/>
          <w:szCs w:val="84"/>
          <w:highlight w:val="none"/>
          <w:lang w:val="en-US" w:eastAsia="zh-CN"/>
        </w:rPr>
      </w:pPr>
      <w:r>
        <w:rPr>
          <w:rFonts w:hint="eastAsia" w:ascii="宋体" w:hAnsi="宋体" w:eastAsia="宋体" w:cs="宋体"/>
          <w:b/>
          <w:color w:val="auto"/>
          <w:sz w:val="84"/>
          <w:szCs w:val="84"/>
          <w:highlight w:val="none"/>
          <w:lang w:val="en-US" w:eastAsia="zh-CN"/>
        </w:rPr>
        <w:t>政府采购磋商文件</w:t>
      </w:r>
    </w:p>
    <w:p w14:paraId="27375B7F">
      <w:pPr>
        <w:spacing w:before="120" w:after="120" w:line="360" w:lineRule="auto"/>
        <w:jc w:val="center"/>
        <w:rPr>
          <w:rFonts w:hint="eastAsia" w:ascii="宋体" w:hAnsi="宋体" w:eastAsia="宋体" w:cs="宋体"/>
          <w:b/>
          <w:bCs/>
          <w:color w:val="auto"/>
          <w:sz w:val="48"/>
          <w:szCs w:val="48"/>
          <w:highlight w:val="none"/>
          <w:lang w:val="en-US" w:eastAsia="zh-CN"/>
        </w:rPr>
      </w:pPr>
      <w:r>
        <w:rPr>
          <w:rFonts w:hint="eastAsia" w:ascii="宋体" w:hAnsi="宋体" w:eastAsia="宋体" w:cs="宋体"/>
          <w:b/>
          <w:bCs/>
          <w:color w:val="auto"/>
          <w:sz w:val="48"/>
          <w:szCs w:val="48"/>
          <w:highlight w:val="none"/>
          <w:lang w:val="en-US" w:eastAsia="zh-CN"/>
        </w:rPr>
        <w:t>项目编号：JSZC-320681-SRZC-C2025-0014</w:t>
      </w:r>
    </w:p>
    <w:p w14:paraId="6586457E">
      <w:pPr>
        <w:spacing w:before="120" w:after="120" w:line="360" w:lineRule="auto"/>
        <w:jc w:val="center"/>
        <w:rPr>
          <w:rFonts w:hint="eastAsia" w:ascii="宋体" w:hAnsi="宋体" w:eastAsia="宋体" w:cs="宋体"/>
          <w:b/>
          <w:bCs/>
          <w:color w:val="auto"/>
          <w:sz w:val="32"/>
          <w:szCs w:val="24"/>
          <w:highlight w:val="none"/>
        </w:rPr>
      </w:pPr>
    </w:p>
    <w:p w14:paraId="57BCB1ED">
      <w:pPr>
        <w:spacing w:before="120" w:after="120" w:line="360" w:lineRule="auto"/>
        <w:jc w:val="center"/>
        <w:rPr>
          <w:rFonts w:hint="eastAsia" w:ascii="宋体" w:hAnsi="宋体" w:eastAsia="宋体" w:cs="宋体"/>
          <w:b/>
          <w:bCs/>
          <w:color w:val="auto"/>
          <w:sz w:val="32"/>
          <w:szCs w:val="24"/>
          <w:highlight w:val="none"/>
        </w:rPr>
      </w:pPr>
    </w:p>
    <w:p w14:paraId="693876D1">
      <w:pPr>
        <w:spacing w:line="360" w:lineRule="auto"/>
        <w:jc w:val="left"/>
        <w:rPr>
          <w:rFonts w:hint="eastAsia" w:ascii="宋体" w:hAnsi="宋体" w:eastAsia="宋体" w:cs="宋体"/>
          <w:color w:val="auto"/>
          <w:sz w:val="24"/>
          <w:szCs w:val="24"/>
          <w:highlight w:val="none"/>
        </w:rPr>
      </w:pPr>
    </w:p>
    <w:p w14:paraId="2FCCC03B">
      <w:pPr>
        <w:spacing w:line="360" w:lineRule="auto"/>
        <w:jc w:val="left"/>
        <w:rPr>
          <w:rFonts w:hint="eastAsia" w:ascii="宋体" w:hAnsi="宋体" w:eastAsia="宋体" w:cs="宋体"/>
          <w:color w:val="auto"/>
          <w:sz w:val="24"/>
          <w:szCs w:val="24"/>
          <w:highlight w:val="none"/>
        </w:rPr>
      </w:pPr>
    </w:p>
    <w:p w14:paraId="62F778DE">
      <w:pPr>
        <w:spacing w:line="360" w:lineRule="auto"/>
        <w:jc w:val="left"/>
        <w:rPr>
          <w:rFonts w:hint="eastAsia" w:ascii="宋体" w:hAnsi="宋体" w:eastAsia="宋体" w:cs="宋体"/>
          <w:color w:val="auto"/>
          <w:sz w:val="24"/>
          <w:szCs w:val="24"/>
          <w:highlight w:val="none"/>
        </w:rPr>
      </w:pPr>
    </w:p>
    <w:p w14:paraId="47219A9D">
      <w:pPr>
        <w:spacing w:line="360" w:lineRule="auto"/>
        <w:jc w:val="left"/>
        <w:rPr>
          <w:rFonts w:hint="eastAsia" w:ascii="宋体" w:hAnsi="宋体" w:eastAsia="宋体" w:cs="宋体"/>
          <w:color w:val="auto"/>
          <w:sz w:val="24"/>
          <w:szCs w:val="24"/>
          <w:highlight w:val="none"/>
        </w:rPr>
      </w:pPr>
    </w:p>
    <w:p w14:paraId="1E3B67B0">
      <w:pPr>
        <w:spacing w:line="360" w:lineRule="auto"/>
        <w:jc w:val="left"/>
        <w:rPr>
          <w:rFonts w:hint="eastAsia" w:ascii="宋体" w:hAnsi="宋体" w:eastAsia="宋体" w:cs="宋体"/>
          <w:color w:val="auto"/>
          <w:sz w:val="24"/>
          <w:szCs w:val="24"/>
          <w:highlight w:val="none"/>
        </w:rPr>
      </w:pPr>
    </w:p>
    <w:p w14:paraId="09A274F6">
      <w:pPr>
        <w:spacing w:line="360" w:lineRule="auto"/>
        <w:jc w:val="left"/>
        <w:rPr>
          <w:rFonts w:hint="eastAsia" w:ascii="宋体" w:hAnsi="宋体" w:eastAsia="宋体" w:cs="宋体"/>
          <w:color w:val="auto"/>
          <w:sz w:val="24"/>
          <w:szCs w:val="24"/>
          <w:highlight w:val="none"/>
        </w:rPr>
      </w:pPr>
    </w:p>
    <w:p w14:paraId="37492DEE">
      <w:pPr>
        <w:spacing w:line="360" w:lineRule="auto"/>
        <w:jc w:val="left"/>
        <w:rPr>
          <w:rFonts w:hint="eastAsia" w:ascii="宋体" w:hAnsi="宋体" w:eastAsia="宋体" w:cs="宋体"/>
          <w:color w:val="auto"/>
          <w:sz w:val="24"/>
          <w:szCs w:val="24"/>
          <w:highlight w:val="none"/>
        </w:rPr>
      </w:pPr>
    </w:p>
    <w:p w14:paraId="55EDF2F7">
      <w:pPr>
        <w:spacing w:line="360" w:lineRule="auto"/>
        <w:jc w:val="left"/>
        <w:rPr>
          <w:rFonts w:hint="eastAsia" w:ascii="宋体" w:hAnsi="宋体" w:eastAsia="宋体" w:cs="宋体"/>
          <w:color w:val="auto"/>
          <w:sz w:val="24"/>
          <w:szCs w:val="24"/>
          <w:highlight w:val="none"/>
        </w:rPr>
      </w:pPr>
    </w:p>
    <w:p w14:paraId="61CF9741">
      <w:pPr>
        <w:keepNext w:val="0"/>
        <w:keepLines w:val="0"/>
        <w:pageBreakBefore w:val="0"/>
        <w:widowControl/>
        <w:kinsoku/>
        <w:wordWrap/>
        <w:overflowPunct/>
        <w:topLinePunct w:val="0"/>
        <w:autoSpaceDE/>
        <w:autoSpaceDN/>
        <w:bidi w:val="0"/>
        <w:adjustRightInd/>
        <w:snapToGrid/>
        <w:spacing w:line="360" w:lineRule="auto"/>
        <w:ind w:firstLine="1200" w:firstLineChars="0"/>
        <w:jc w:val="left"/>
        <w:textAlignment w:val="auto"/>
        <w:rPr>
          <w:rFonts w:hint="eastAsia" w:ascii="宋体" w:hAnsi="宋体" w:eastAsia="宋体" w:cs="宋体"/>
          <w:i w:val="0"/>
          <w:iCs w:val="0"/>
          <w:caps w:val="0"/>
          <w:color w:val="auto"/>
          <w:spacing w:val="0"/>
          <w:sz w:val="30"/>
          <w:szCs w:val="30"/>
          <w:highlight w:val="none"/>
          <w:shd w:val="clear"/>
          <w:lang w:eastAsia="zh-CN"/>
        </w:rPr>
      </w:pPr>
      <w:r>
        <w:rPr>
          <w:rFonts w:hint="eastAsia" w:ascii="宋体" w:hAnsi="宋体" w:eastAsia="宋体" w:cs="宋体"/>
          <w:color w:val="auto"/>
          <w:sz w:val="30"/>
          <w:szCs w:val="30"/>
          <w:highlight w:val="none"/>
        </w:rPr>
        <w:t>采购人：</w:t>
      </w:r>
      <w:r>
        <w:rPr>
          <w:rFonts w:hint="eastAsia" w:ascii="宋体" w:hAnsi="宋体" w:eastAsia="宋体" w:cs="宋体"/>
          <w:i w:val="0"/>
          <w:iCs w:val="0"/>
          <w:caps w:val="0"/>
          <w:color w:val="auto"/>
          <w:spacing w:val="0"/>
          <w:sz w:val="30"/>
          <w:szCs w:val="30"/>
          <w:highlight w:val="none"/>
          <w:shd w:val="clear"/>
          <w:lang w:eastAsia="zh-CN"/>
        </w:rPr>
        <w:t>启东市交通事业发展中心</w:t>
      </w:r>
    </w:p>
    <w:p w14:paraId="129CCFD8">
      <w:pPr>
        <w:keepNext w:val="0"/>
        <w:keepLines w:val="0"/>
        <w:pageBreakBefore w:val="0"/>
        <w:widowControl/>
        <w:kinsoku/>
        <w:wordWrap/>
        <w:overflowPunct/>
        <w:topLinePunct w:val="0"/>
        <w:autoSpaceDE/>
        <w:autoSpaceDN/>
        <w:bidi w:val="0"/>
        <w:adjustRightInd/>
        <w:snapToGrid/>
        <w:spacing w:line="360" w:lineRule="auto"/>
        <w:ind w:firstLine="2400" w:firstLineChars="800"/>
        <w:jc w:val="left"/>
        <w:textAlignment w:val="auto"/>
        <w:rPr>
          <w:rFonts w:hint="eastAsia" w:ascii="宋体" w:hAnsi="宋体" w:eastAsia="宋体" w:cs="宋体"/>
          <w:i w:val="0"/>
          <w:iCs w:val="0"/>
          <w:caps w:val="0"/>
          <w:color w:val="auto"/>
          <w:spacing w:val="0"/>
          <w:sz w:val="30"/>
          <w:szCs w:val="30"/>
          <w:highlight w:val="none"/>
          <w:shd w:val="clear"/>
          <w:lang w:eastAsia="zh-CN"/>
        </w:rPr>
      </w:pPr>
      <w:r>
        <w:rPr>
          <w:rFonts w:hint="eastAsia" w:ascii="宋体" w:hAnsi="宋体" w:eastAsia="宋体" w:cs="宋体"/>
          <w:i w:val="0"/>
          <w:iCs w:val="0"/>
          <w:caps w:val="0"/>
          <w:color w:val="auto"/>
          <w:spacing w:val="0"/>
          <w:sz w:val="30"/>
          <w:szCs w:val="30"/>
          <w:highlight w:val="none"/>
          <w:shd w:val="clear"/>
          <w:lang w:eastAsia="zh-CN"/>
        </w:rPr>
        <w:t>启东安瑞达开发建设有限公司</w:t>
      </w:r>
    </w:p>
    <w:p w14:paraId="0D46778E">
      <w:pPr>
        <w:spacing w:line="360" w:lineRule="auto"/>
        <w:ind w:firstLine="1200"/>
        <w:jc w:val="lef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采购代理机构：江苏睿致诚工程咨询有限公司</w:t>
      </w:r>
    </w:p>
    <w:p w14:paraId="4021B483">
      <w:pPr>
        <w:spacing w:line="360" w:lineRule="auto"/>
        <w:ind w:firstLine="12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日期：2025年</w:t>
      </w:r>
      <w:r>
        <w:rPr>
          <w:rFonts w:hint="eastAsia" w:ascii="宋体" w:hAnsi="宋体" w:cs="宋体"/>
          <w:color w:val="auto"/>
          <w:sz w:val="30"/>
          <w:szCs w:val="30"/>
          <w:highlight w:val="none"/>
          <w:lang w:val="en-US" w:eastAsia="zh-CN"/>
        </w:rPr>
        <w:t>11</w:t>
      </w:r>
      <w:r>
        <w:rPr>
          <w:rFonts w:hint="eastAsia" w:ascii="宋体" w:hAnsi="宋体" w:eastAsia="宋体" w:cs="宋体"/>
          <w:color w:val="auto"/>
          <w:sz w:val="30"/>
          <w:szCs w:val="30"/>
          <w:highlight w:val="none"/>
        </w:rPr>
        <w:t>月</w:t>
      </w:r>
    </w:p>
    <w:p w14:paraId="683A310B">
      <w:pPr>
        <w:pStyle w:val="190"/>
        <w:spacing w:line="360" w:lineRule="auto"/>
        <w:ind w:firstLine="0"/>
        <w:jc w:val="center"/>
        <w:rPr>
          <w:rFonts w:hint="eastAsia" w:ascii="宋体" w:hAnsi="宋体" w:eastAsia="宋体" w:cs="宋体"/>
          <w:color w:val="auto"/>
          <w:sz w:val="30"/>
          <w:szCs w:val="30"/>
          <w:highlight w:val="none"/>
        </w:rPr>
        <w:sectPr>
          <w:footerReference r:id="rId6" w:type="first"/>
          <w:headerReference r:id="rId3" w:type="default"/>
          <w:footerReference r:id="rId4" w:type="default"/>
          <w:footerReference r:id="rId5" w:type="even"/>
          <w:pgSz w:w="11906" w:h="16838"/>
          <w:pgMar w:top="1191" w:right="1191" w:bottom="1191" w:left="1191" w:header="851" w:footer="907" w:gutter="0"/>
          <w:cols w:space="1701" w:num="1"/>
          <w:titlePg/>
          <w:docGrid w:linePitch="360" w:charSpace="0"/>
        </w:sectPr>
      </w:pPr>
    </w:p>
    <w:p w14:paraId="01D3DFE2">
      <w:pPr>
        <w:pStyle w:val="190"/>
        <w:spacing w:line="360" w:lineRule="auto"/>
        <w:ind w:firstLine="0"/>
        <w:jc w:val="center"/>
        <w:rPr>
          <w:rFonts w:hint="eastAsia" w:ascii="宋体" w:hAnsi="宋体" w:eastAsia="宋体" w:cs="宋体"/>
          <w:b/>
          <w:color w:val="auto"/>
          <w:sz w:val="44"/>
          <w:szCs w:val="44"/>
          <w:highlight w:val="none"/>
        </w:rPr>
      </w:pPr>
    </w:p>
    <w:p w14:paraId="1E0BAB64">
      <w:pPr>
        <w:pStyle w:val="190"/>
        <w:spacing w:line="360" w:lineRule="auto"/>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目  录</w:t>
      </w:r>
    </w:p>
    <w:p w14:paraId="5CE3BEC1">
      <w:pPr>
        <w:pStyle w:val="190"/>
        <w:spacing w:line="360" w:lineRule="auto"/>
        <w:ind w:firstLine="0"/>
        <w:jc w:val="center"/>
        <w:rPr>
          <w:rFonts w:hint="eastAsia" w:ascii="宋体" w:hAnsi="宋体" w:eastAsia="宋体" w:cs="宋体"/>
          <w:color w:val="auto"/>
          <w:sz w:val="30"/>
          <w:highlight w:val="none"/>
        </w:rPr>
      </w:pPr>
    </w:p>
    <w:p w14:paraId="00179815">
      <w:pPr>
        <w:numPr>
          <w:ilvl w:val="0"/>
          <w:numId w:val="0"/>
        </w:numPr>
        <w:spacing w:line="480" w:lineRule="auto"/>
        <w:ind w:left="0" w:leftChars="0" w:firstLine="1980" w:firstLineChars="0"/>
        <w:outlineLvl w:val="0"/>
        <w:rPr>
          <w:rFonts w:hint="eastAsia" w:ascii="宋体" w:hAnsi="宋体" w:eastAsia="宋体" w:cs="宋体"/>
          <w:bCs/>
          <w:color w:val="auto"/>
          <w:sz w:val="36"/>
          <w:szCs w:val="36"/>
          <w:highlight w:val="none"/>
        </w:rPr>
      </w:pPr>
      <w:r>
        <w:rPr>
          <w:rFonts w:hint="eastAsia" w:ascii="宋体" w:hAnsi="宋体" w:eastAsia="宋体" w:cs="宋体"/>
          <w:b w:val="0"/>
          <w:bCs/>
          <w:color w:val="auto"/>
          <w:sz w:val="36"/>
          <w:szCs w:val="36"/>
          <w:highlight w:val="none"/>
          <w:lang w:val="en-US" w:eastAsia="zh-CN" w:bidi="ar-SA"/>
        </w:rPr>
        <w:t xml:space="preserve">第一部分  </w:t>
      </w:r>
      <w:r>
        <w:rPr>
          <w:rFonts w:hint="eastAsia" w:ascii="宋体" w:hAnsi="宋体" w:eastAsia="宋体" w:cs="宋体"/>
          <w:bCs/>
          <w:color w:val="auto"/>
          <w:sz w:val="36"/>
          <w:szCs w:val="36"/>
          <w:highlight w:val="none"/>
          <w:lang w:val="en-US" w:eastAsia="zh-CN"/>
        </w:rPr>
        <w:t>竞争性磋商公告</w:t>
      </w:r>
    </w:p>
    <w:p w14:paraId="04348724">
      <w:pPr>
        <w:numPr>
          <w:ilvl w:val="0"/>
          <w:numId w:val="0"/>
        </w:numPr>
        <w:spacing w:line="480" w:lineRule="auto"/>
        <w:ind w:left="0" w:leftChars="0" w:firstLine="1980" w:firstLineChars="0"/>
        <w:outlineLvl w:val="0"/>
        <w:rPr>
          <w:rFonts w:hint="eastAsia" w:ascii="宋体" w:hAnsi="宋体" w:eastAsia="宋体" w:cs="宋体"/>
          <w:color w:val="auto"/>
          <w:sz w:val="36"/>
          <w:szCs w:val="21"/>
          <w:highlight w:val="none"/>
        </w:rPr>
      </w:pPr>
      <w:r>
        <w:rPr>
          <w:rFonts w:hint="eastAsia" w:ascii="宋体" w:hAnsi="宋体" w:eastAsia="宋体" w:cs="宋体"/>
          <w:b w:val="0"/>
          <w:color w:val="auto"/>
          <w:sz w:val="36"/>
          <w:szCs w:val="21"/>
          <w:highlight w:val="none"/>
          <w:lang w:val="en-US" w:eastAsia="zh-CN" w:bidi="ar-SA"/>
        </w:rPr>
        <w:t xml:space="preserve">第二部分  </w:t>
      </w:r>
      <w:r>
        <w:rPr>
          <w:rFonts w:hint="eastAsia" w:ascii="宋体" w:hAnsi="宋体" w:eastAsia="宋体" w:cs="宋体"/>
          <w:bCs/>
          <w:color w:val="auto"/>
          <w:sz w:val="36"/>
          <w:szCs w:val="36"/>
          <w:highlight w:val="none"/>
          <w:lang w:val="en-US" w:eastAsia="zh-CN"/>
        </w:rPr>
        <w:t>磋商</w:t>
      </w:r>
      <w:r>
        <w:rPr>
          <w:rFonts w:hint="eastAsia" w:ascii="宋体" w:hAnsi="宋体" w:eastAsia="宋体" w:cs="宋体"/>
          <w:bCs/>
          <w:color w:val="auto"/>
          <w:sz w:val="36"/>
          <w:szCs w:val="36"/>
          <w:highlight w:val="none"/>
        </w:rPr>
        <w:t>须知</w:t>
      </w:r>
      <w:r>
        <w:rPr>
          <w:rFonts w:hint="eastAsia" w:ascii="宋体" w:hAnsi="宋体" w:eastAsia="宋体" w:cs="宋体"/>
          <w:color w:val="auto"/>
          <w:sz w:val="36"/>
          <w:szCs w:val="21"/>
          <w:highlight w:val="none"/>
        </w:rPr>
        <w:t xml:space="preserve"> </w:t>
      </w:r>
    </w:p>
    <w:p w14:paraId="79F30E64">
      <w:pPr>
        <w:numPr>
          <w:ilvl w:val="0"/>
          <w:numId w:val="0"/>
        </w:numPr>
        <w:spacing w:line="480" w:lineRule="auto"/>
        <w:ind w:left="0" w:leftChars="0" w:firstLine="1980" w:firstLineChars="0"/>
        <w:outlineLvl w:val="0"/>
        <w:rPr>
          <w:rFonts w:hint="eastAsia" w:ascii="宋体" w:hAnsi="宋体" w:eastAsia="宋体" w:cs="宋体"/>
          <w:color w:val="auto"/>
          <w:sz w:val="36"/>
          <w:szCs w:val="21"/>
          <w:highlight w:val="none"/>
        </w:rPr>
      </w:pPr>
      <w:r>
        <w:rPr>
          <w:rFonts w:hint="eastAsia" w:ascii="宋体" w:hAnsi="宋体" w:eastAsia="宋体" w:cs="宋体"/>
          <w:b w:val="0"/>
          <w:color w:val="auto"/>
          <w:sz w:val="36"/>
          <w:szCs w:val="21"/>
          <w:highlight w:val="none"/>
          <w:lang w:val="en-US" w:eastAsia="zh-CN" w:bidi="ar-SA"/>
        </w:rPr>
        <w:t xml:space="preserve">第三部分  </w:t>
      </w:r>
      <w:r>
        <w:rPr>
          <w:rFonts w:hint="eastAsia" w:ascii="宋体" w:hAnsi="宋体" w:eastAsia="宋体" w:cs="宋体"/>
          <w:color w:val="auto"/>
          <w:sz w:val="36"/>
          <w:szCs w:val="21"/>
          <w:highlight w:val="none"/>
          <w:lang w:val="en-US" w:eastAsia="zh-CN"/>
        </w:rPr>
        <w:t>项目</w:t>
      </w:r>
      <w:r>
        <w:rPr>
          <w:rFonts w:hint="eastAsia" w:ascii="宋体" w:hAnsi="宋体" w:eastAsia="宋体" w:cs="宋体"/>
          <w:color w:val="auto"/>
          <w:sz w:val="36"/>
          <w:szCs w:val="21"/>
          <w:highlight w:val="none"/>
        </w:rPr>
        <w:t>需求</w:t>
      </w:r>
    </w:p>
    <w:p w14:paraId="52CE6AA2">
      <w:pPr>
        <w:numPr>
          <w:ilvl w:val="0"/>
          <w:numId w:val="0"/>
        </w:numPr>
        <w:spacing w:line="480" w:lineRule="auto"/>
        <w:ind w:left="0" w:leftChars="0" w:firstLine="1980" w:firstLineChars="0"/>
        <w:outlineLvl w:val="0"/>
        <w:rPr>
          <w:rFonts w:hint="eastAsia" w:ascii="宋体" w:hAnsi="宋体" w:eastAsia="宋体" w:cs="宋体"/>
          <w:color w:val="auto"/>
          <w:sz w:val="36"/>
          <w:szCs w:val="21"/>
          <w:highlight w:val="none"/>
        </w:rPr>
      </w:pPr>
      <w:r>
        <w:rPr>
          <w:rFonts w:hint="eastAsia" w:ascii="宋体" w:hAnsi="宋体" w:eastAsia="宋体" w:cs="宋体"/>
          <w:b w:val="0"/>
          <w:color w:val="auto"/>
          <w:sz w:val="36"/>
          <w:szCs w:val="21"/>
          <w:highlight w:val="none"/>
          <w:lang w:val="en-US" w:eastAsia="zh-CN" w:bidi="ar-SA"/>
        </w:rPr>
        <w:t xml:space="preserve">第四部分  </w:t>
      </w:r>
      <w:r>
        <w:rPr>
          <w:rFonts w:hint="eastAsia" w:ascii="宋体" w:hAnsi="宋体" w:eastAsia="宋体" w:cs="宋体"/>
          <w:bCs/>
          <w:color w:val="auto"/>
          <w:sz w:val="36"/>
          <w:szCs w:val="36"/>
          <w:highlight w:val="none"/>
        </w:rPr>
        <w:t>评审方法与评审标准</w:t>
      </w:r>
    </w:p>
    <w:p w14:paraId="156B9828">
      <w:pPr>
        <w:numPr>
          <w:ilvl w:val="0"/>
          <w:numId w:val="0"/>
        </w:numPr>
        <w:spacing w:line="480" w:lineRule="auto"/>
        <w:ind w:left="0" w:leftChars="0" w:firstLine="1980" w:firstLineChars="0"/>
        <w:outlineLvl w:val="0"/>
        <w:rPr>
          <w:rFonts w:hint="eastAsia" w:ascii="宋体" w:hAnsi="宋体" w:eastAsia="宋体" w:cs="宋体"/>
          <w:color w:val="auto"/>
          <w:sz w:val="36"/>
          <w:szCs w:val="21"/>
          <w:highlight w:val="none"/>
        </w:rPr>
      </w:pPr>
      <w:r>
        <w:rPr>
          <w:rFonts w:hint="eastAsia" w:ascii="宋体" w:hAnsi="宋体" w:eastAsia="宋体" w:cs="宋体"/>
          <w:b w:val="0"/>
          <w:color w:val="auto"/>
          <w:sz w:val="36"/>
          <w:szCs w:val="21"/>
          <w:highlight w:val="none"/>
          <w:lang w:val="en-US" w:eastAsia="zh-CN" w:bidi="ar-SA"/>
        </w:rPr>
        <w:t xml:space="preserve">第五部分  </w:t>
      </w:r>
      <w:r>
        <w:rPr>
          <w:rFonts w:hint="eastAsia" w:ascii="宋体" w:hAnsi="宋体" w:eastAsia="宋体" w:cs="宋体"/>
          <w:color w:val="auto"/>
          <w:sz w:val="36"/>
          <w:szCs w:val="21"/>
          <w:highlight w:val="none"/>
        </w:rPr>
        <w:t>响应文件格式</w:t>
      </w:r>
    </w:p>
    <w:p w14:paraId="24062ABE">
      <w:pPr>
        <w:keepNext/>
        <w:jc w:val="center"/>
        <w:outlineLvl w:val="0"/>
        <w:rPr>
          <w:rFonts w:hint="eastAsia" w:ascii="宋体" w:hAnsi="宋体" w:eastAsia="宋体" w:cs="宋体"/>
          <w:b/>
          <w:bCs/>
          <w:color w:val="auto"/>
          <w:sz w:val="36"/>
          <w:szCs w:val="36"/>
          <w:highlight w:val="none"/>
        </w:rPr>
      </w:pPr>
    </w:p>
    <w:p w14:paraId="1024FA18">
      <w:pPr>
        <w:keepNext/>
        <w:jc w:val="center"/>
        <w:outlineLvl w:val="0"/>
        <w:rPr>
          <w:rFonts w:hint="eastAsia" w:ascii="宋体" w:hAnsi="宋体" w:eastAsia="宋体" w:cs="宋体"/>
          <w:b/>
          <w:bCs/>
          <w:color w:val="auto"/>
          <w:sz w:val="36"/>
          <w:szCs w:val="36"/>
          <w:highlight w:val="none"/>
        </w:rPr>
        <w:sectPr>
          <w:pgSz w:w="11906" w:h="16838"/>
          <w:pgMar w:top="1191" w:right="1191" w:bottom="1191" w:left="1191" w:header="851" w:footer="992" w:gutter="0"/>
          <w:cols w:space="1701" w:num="1"/>
          <w:docGrid w:linePitch="360" w:charSpace="0"/>
        </w:sectPr>
      </w:pPr>
    </w:p>
    <w:p w14:paraId="6474667E">
      <w:pPr>
        <w:keepNext/>
        <w:numPr>
          <w:ilvl w:val="0"/>
          <w:numId w:val="0"/>
        </w:numPr>
        <w:jc w:val="center"/>
        <w:outlineLvl w:val="0"/>
        <w:rPr>
          <w:rFonts w:hint="eastAsia"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lang w:val="en-US" w:eastAsia="zh-CN" w:bidi="ar-SA"/>
        </w:rPr>
        <w:t>第一部分</w:t>
      </w:r>
      <w:r>
        <w:rPr>
          <w:rFonts w:hint="eastAsia" w:ascii="宋体" w:hAnsi="宋体" w:eastAsia="宋体" w:cs="宋体"/>
          <w:color w:val="auto"/>
          <w:sz w:val="44"/>
          <w:szCs w:val="44"/>
          <w:highlight w:val="none"/>
        </w:rPr>
        <w:t xml:space="preserve"> </w:t>
      </w:r>
      <w:bookmarkEnd w:id="0"/>
      <w:r>
        <w:rPr>
          <w:rFonts w:hint="eastAsia" w:ascii="宋体" w:hAnsi="宋体" w:eastAsia="宋体" w:cs="宋体"/>
          <w:color w:val="auto"/>
          <w:sz w:val="44"/>
          <w:szCs w:val="44"/>
          <w:highlight w:val="none"/>
          <w:lang w:val="en-US" w:eastAsia="zh-CN"/>
        </w:rPr>
        <w:t>竞争性磋商公告</w:t>
      </w:r>
    </w:p>
    <w:p w14:paraId="37F551D4">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受</w:t>
      </w:r>
      <w:r>
        <w:rPr>
          <w:rFonts w:hint="eastAsia" w:ascii="宋体" w:hAnsi="宋体" w:eastAsia="宋体" w:cs="宋体"/>
          <w:color w:val="auto"/>
          <w:sz w:val="24"/>
          <w:szCs w:val="24"/>
          <w:highlight w:val="none"/>
          <w:lang w:eastAsia="zh-CN"/>
        </w:rPr>
        <w:t>启东市交通事业发展中心、启东安瑞达开发建设有限公司的</w:t>
      </w:r>
      <w:r>
        <w:rPr>
          <w:rFonts w:hint="eastAsia" w:ascii="宋体" w:hAnsi="宋体" w:eastAsia="宋体" w:cs="宋体"/>
          <w:color w:val="auto"/>
          <w:sz w:val="24"/>
          <w:szCs w:val="24"/>
          <w:highlight w:val="none"/>
          <w:lang w:val="en-US" w:eastAsia="zh-CN"/>
        </w:rPr>
        <w:t>委托，</w:t>
      </w:r>
      <w:r>
        <w:rPr>
          <w:rFonts w:hint="eastAsia" w:ascii="宋体" w:hAnsi="宋体" w:eastAsia="宋体" w:cs="宋体"/>
          <w:color w:val="auto"/>
          <w:sz w:val="24"/>
          <w:szCs w:val="24"/>
          <w:highlight w:val="none"/>
          <w:lang w:eastAsia="zh-CN"/>
        </w:rPr>
        <w:t>江苏睿致诚工程咨询有限公司</w:t>
      </w:r>
      <w:r>
        <w:rPr>
          <w:rFonts w:hint="eastAsia" w:ascii="宋体" w:hAnsi="宋体" w:eastAsia="宋体" w:cs="宋体"/>
          <w:color w:val="auto"/>
          <w:sz w:val="24"/>
          <w:szCs w:val="24"/>
          <w:highlight w:val="none"/>
          <w:lang w:val="en-US" w:eastAsia="zh-CN"/>
        </w:rPr>
        <w:t>就</w:t>
      </w:r>
      <w:r>
        <w:rPr>
          <w:rFonts w:hint="eastAsia" w:ascii="宋体" w:hAnsi="宋体" w:eastAsia="宋体" w:cs="宋体"/>
          <w:color w:val="auto"/>
          <w:sz w:val="24"/>
          <w:szCs w:val="24"/>
          <w:highlight w:val="none"/>
          <w:lang w:eastAsia="zh-CN"/>
        </w:rPr>
        <w:t>北沿江高铁启东西站配套道路（世纪大道西延、启迪路）安全环保咨询服务项目（</w:t>
      </w:r>
      <w:r>
        <w:rPr>
          <w:rFonts w:hint="eastAsia" w:ascii="宋体" w:hAnsi="宋体" w:eastAsia="宋体" w:cs="宋体"/>
          <w:color w:val="auto"/>
          <w:sz w:val="24"/>
          <w:szCs w:val="24"/>
          <w:highlight w:val="none"/>
          <w:lang w:val="en-US" w:eastAsia="zh-CN"/>
        </w:rPr>
        <w:t>项目编号：JSZC-320681-SRZC-C2025-0014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进行竞争性磋商采购，</w:t>
      </w:r>
      <w:r>
        <w:rPr>
          <w:rFonts w:hint="eastAsia" w:ascii="宋体" w:hAnsi="宋体" w:eastAsia="宋体" w:cs="宋体"/>
          <w:color w:val="auto"/>
          <w:sz w:val="24"/>
          <w:szCs w:val="24"/>
          <w:highlight w:val="none"/>
          <w:lang w:eastAsia="zh-CN"/>
        </w:rPr>
        <w:t>欢迎符合条件的供应商参加磋商。</w:t>
      </w:r>
    </w:p>
    <w:p w14:paraId="7A478947">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60139A6E">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北沿江高铁启东西站配套道路（世纪大道西延、启迪路）安全环保咨询服务项目</w:t>
      </w:r>
      <w:r>
        <w:rPr>
          <w:rFonts w:hint="eastAsia" w:ascii="宋体" w:hAnsi="宋体" w:eastAsia="宋体" w:cs="宋体"/>
          <w:color w:val="auto"/>
          <w:sz w:val="24"/>
          <w:szCs w:val="24"/>
          <w:highlight w:val="none"/>
        </w:rPr>
        <w:t>的潜在供应商</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在江苏政府采购网获取采购文件，并于</w:t>
      </w:r>
      <w:r>
        <w:rPr>
          <w:rFonts w:hint="eastAsia" w:ascii="宋体" w:hAnsi="宋体" w:eastAsia="宋体" w:cs="宋体"/>
          <w:color w:val="auto"/>
          <w:sz w:val="24"/>
          <w:szCs w:val="24"/>
          <w:highlight w:val="none"/>
          <w:u w:val="single"/>
        </w:rPr>
        <w:t>2025</w:t>
      </w:r>
      <w:r>
        <w:rPr>
          <w:rFonts w:hint="eastAsia" w:ascii="宋体" w:hAnsi="宋体" w:eastAsia="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11</w:t>
      </w:r>
      <w:r>
        <w:rPr>
          <w:rFonts w:hint="eastAsia" w:ascii="宋体" w:hAnsi="宋体" w:eastAsia="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25</w:t>
      </w:r>
      <w:r>
        <w:rPr>
          <w:rFonts w:hint="eastAsia" w:ascii="宋体" w:hAnsi="宋体" w:eastAsia="宋体" w:cs="宋体"/>
          <w:bCs/>
          <w:color w:val="auto"/>
          <w:sz w:val="24"/>
          <w:szCs w:val="24"/>
          <w:highlight w:val="none"/>
          <w:u w:val="single"/>
        </w:rPr>
        <w:t>日</w:t>
      </w:r>
      <w:r>
        <w:rPr>
          <w:rFonts w:hint="eastAsia" w:ascii="宋体" w:hAnsi="宋体" w:eastAsia="宋体" w:cs="宋体"/>
          <w:bCs/>
          <w:color w:val="auto"/>
          <w:sz w:val="24"/>
          <w:szCs w:val="24"/>
          <w:highlight w:val="none"/>
          <w:u w:val="single"/>
          <w:lang w:val="en-US" w:eastAsia="zh-CN"/>
        </w:rPr>
        <w:t>9</w:t>
      </w:r>
      <w:r>
        <w:rPr>
          <w:rFonts w:hint="eastAsia" w:ascii="宋体" w:hAnsi="宋体" w:eastAsia="宋体" w:cs="宋体"/>
          <w:bCs/>
          <w:color w:val="auto"/>
          <w:sz w:val="24"/>
          <w:szCs w:val="24"/>
          <w:highlight w:val="none"/>
          <w:u w:val="single"/>
        </w:rPr>
        <w:t>点</w:t>
      </w:r>
      <w:r>
        <w:rPr>
          <w:rFonts w:hint="eastAsia" w:ascii="宋体" w:hAnsi="宋体" w:eastAsia="宋体" w:cs="宋体"/>
          <w:bCs/>
          <w:color w:val="auto"/>
          <w:sz w:val="24"/>
          <w:szCs w:val="24"/>
          <w:highlight w:val="none"/>
          <w:u w:val="single"/>
          <w:lang w:val="en-US" w:eastAsia="zh-CN"/>
        </w:rPr>
        <w:t>30</w:t>
      </w:r>
      <w:r>
        <w:rPr>
          <w:rFonts w:hint="eastAsia" w:ascii="宋体" w:hAnsi="宋体" w:eastAsia="宋体" w:cs="宋体"/>
          <w:bCs/>
          <w:color w:val="auto"/>
          <w:sz w:val="24"/>
          <w:szCs w:val="24"/>
          <w:highlight w:val="none"/>
          <w:u w:val="single"/>
        </w:rPr>
        <w:t>分（</w:t>
      </w:r>
      <w:r>
        <w:rPr>
          <w:rFonts w:hint="eastAsia" w:ascii="宋体" w:hAnsi="宋体" w:eastAsia="宋体" w:cs="宋体"/>
          <w:bCs/>
          <w:color w:val="auto"/>
          <w:sz w:val="24"/>
          <w:szCs w:val="24"/>
          <w:highlight w:val="none"/>
        </w:rPr>
        <w:t>北京时间）前</w:t>
      </w:r>
      <w:r>
        <w:rPr>
          <w:rFonts w:hint="eastAsia" w:ascii="宋体" w:hAnsi="宋体" w:eastAsia="宋体" w:cs="宋体"/>
          <w:bCs/>
          <w:color w:val="auto"/>
          <w:sz w:val="24"/>
          <w:szCs w:val="24"/>
          <w:highlight w:val="none"/>
          <w:lang w:val="en-US" w:eastAsia="zh-CN"/>
        </w:rPr>
        <w:t>提</w:t>
      </w:r>
      <w:r>
        <w:rPr>
          <w:rFonts w:hint="eastAsia" w:ascii="宋体" w:hAnsi="宋体" w:eastAsia="宋体" w:cs="宋体"/>
          <w:bCs/>
          <w:color w:val="auto"/>
          <w:sz w:val="24"/>
          <w:szCs w:val="24"/>
          <w:highlight w:val="none"/>
        </w:rPr>
        <w:t>交响应文件</w:t>
      </w:r>
      <w:r>
        <w:rPr>
          <w:rFonts w:hint="eastAsia" w:ascii="宋体" w:hAnsi="宋体" w:eastAsia="宋体" w:cs="宋体"/>
          <w:color w:val="auto"/>
          <w:sz w:val="24"/>
          <w:szCs w:val="24"/>
          <w:highlight w:val="none"/>
        </w:rPr>
        <w:t>。</w:t>
      </w:r>
    </w:p>
    <w:p w14:paraId="02D32BF7">
      <w:pPr>
        <w:keepNext/>
        <w:keepLines/>
        <w:spacing w:line="360" w:lineRule="auto"/>
        <w:ind w:firstLine="482"/>
        <w:outlineLvl w:val="2"/>
        <w:rPr>
          <w:rFonts w:hint="eastAsia" w:ascii="宋体" w:hAnsi="宋体" w:eastAsia="宋体" w:cs="宋体"/>
          <w:b/>
          <w:bCs/>
          <w:color w:val="auto"/>
          <w:sz w:val="24"/>
          <w:szCs w:val="24"/>
          <w:highlight w:val="none"/>
        </w:rPr>
      </w:pPr>
      <w:bookmarkStart w:id="6" w:name="_Toc28359002"/>
      <w:bookmarkStart w:id="7" w:name="_Toc28359079"/>
      <w:bookmarkStart w:id="8" w:name="_Toc35393790"/>
      <w:bookmarkStart w:id="9" w:name="_Toc38985263"/>
      <w:bookmarkStart w:id="10" w:name="_Toc35393621"/>
      <w:bookmarkStart w:id="11" w:name="_Hlk24379207"/>
      <w:r>
        <w:rPr>
          <w:rFonts w:hint="eastAsia" w:ascii="宋体" w:hAnsi="宋体" w:eastAsia="宋体" w:cs="宋体"/>
          <w:b/>
          <w:bCs/>
          <w:color w:val="auto"/>
          <w:sz w:val="24"/>
          <w:szCs w:val="24"/>
          <w:highlight w:val="none"/>
        </w:rPr>
        <w:t>一、项目基本情况</w:t>
      </w:r>
      <w:bookmarkEnd w:id="6"/>
      <w:bookmarkEnd w:id="7"/>
      <w:bookmarkEnd w:id="8"/>
      <w:bookmarkEnd w:id="9"/>
      <w:bookmarkEnd w:id="10"/>
    </w:p>
    <w:p w14:paraId="7F4A16D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项目编号：JSZC-320681-SRZC-C2025-0014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p>
    <w:p w14:paraId="0C7CC3C0">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北沿江高铁启东西站配套道路（世纪大道西延、启迪路）安全环保咨询服务项目</w:t>
      </w:r>
    </w:p>
    <w:p w14:paraId="7D6B73C2">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项目类型：服务</w:t>
      </w:r>
    </w:p>
    <w:p w14:paraId="1DFACB4C">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所属行业：其他未列明行业</w:t>
      </w:r>
    </w:p>
    <w:bookmarkEnd w:id="11"/>
    <w:p w14:paraId="778DC69D">
      <w:pPr>
        <w:pStyle w:val="21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预算金额：</w:t>
      </w:r>
      <w:r>
        <w:rPr>
          <w:rFonts w:hint="eastAsia" w:ascii="宋体" w:hAnsi="宋体" w:cs="宋体"/>
          <w:color w:val="auto"/>
          <w:sz w:val="24"/>
          <w:szCs w:val="24"/>
          <w:highlight w:val="none"/>
          <w:lang w:val="en-US" w:eastAsia="zh-CN"/>
        </w:rPr>
        <w:t>80</w:t>
      </w:r>
      <w:r>
        <w:rPr>
          <w:rFonts w:hint="eastAsia" w:ascii="宋体" w:hAnsi="宋体" w:eastAsia="宋体" w:cs="宋体"/>
          <w:color w:val="auto"/>
          <w:sz w:val="24"/>
          <w:szCs w:val="24"/>
          <w:highlight w:val="none"/>
          <w:lang w:val="en-US" w:eastAsia="zh-CN"/>
        </w:rPr>
        <w:t>万元</w:t>
      </w:r>
    </w:p>
    <w:p w14:paraId="0C3F9B25">
      <w:pPr>
        <w:pStyle w:val="21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val="en-US" w:eastAsia="zh-CN"/>
        </w:rPr>
        <w:t>人民币</w:t>
      </w:r>
      <w:r>
        <w:rPr>
          <w:rFonts w:hint="eastAsia" w:ascii="宋体" w:hAnsi="宋体" w:cs="宋体"/>
          <w:color w:val="auto"/>
          <w:sz w:val="24"/>
          <w:szCs w:val="24"/>
          <w:highlight w:val="none"/>
          <w:lang w:val="en-US" w:eastAsia="zh-CN"/>
        </w:rPr>
        <w:t>捌拾万元整</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800000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，投标报价超过最高限价的为无效投标。</w:t>
      </w:r>
    </w:p>
    <w:p w14:paraId="30449F39">
      <w:pPr>
        <w:spacing w:line="360" w:lineRule="auto"/>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采购需求</w:t>
      </w:r>
      <w:r>
        <w:rPr>
          <w:rFonts w:hint="eastAsia" w:ascii="宋体" w:hAnsi="宋体" w:eastAsia="宋体" w:cs="宋体"/>
          <w:color w:val="auto"/>
          <w:sz w:val="24"/>
          <w:szCs w:val="24"/>
          <w:highlight w:val="none"/>
          <w:lang w:val="en-US" w:eastAsia="zh-CN" w:bidi="ar-SA"/>
        </w:rPr>
        <w:t>：为</w:t>
      </w:r>
      <w:r>
        <w:rPr>
          <w:rFonts w:hint="eastAsia" w:ascii="宋体" w:hAnsi="宋体" w:eastAsia="宋体" w:cs="宋体"/>
          <w:i w:val="0"/>
          <w:iCs w:val="0"/>
          <w:caps w:val="0"/>
          <w:color w:val="auto"/>
          <w:spacing w:val="0"/>
          <w:sz w:val="24"/>
          <w:szCs w:val="24"/>
          <w:highlight w:val="none"/>
          <w:shd w:val="clear"/>
        </w:rPr>
        <w:t>启东世纪大道西延与站前路（启迪路）工程项目开展安全管理及技术咨询服务（含环保），优化提升工程实施工程中的现场安全环保管理工作效能</w:t>
      </w:r>
      <w:r>
        <w:rPr>
          <w:rFonts w:hint="eastAsia" w:ascii="宋体" w:hAnsi="宋体" w:eastAsia="宋体" w:cs="宋体"/>
          <w:color w:val="auto"/>
          <w:sz w:val="24"/>
          <w:szCs w:val="24"/>
          <w:highlight w:val="none"/>
          <w:lang w:val="en-US" w:eastAsia="zh-CN" w:bidi="ar-SA"/>
        </w:rPr>
        <w:t>。详见第三部分项目需求</w:t>
      </w:r>
      <w:r>
        <w:rPr>
          <w:rFonts w:hint="eastAsia" w:ascii="宋体" w:hAnsi="宋体" w:eastAsia="宋体" w:cs="宋体"/>
          <w:color w:val="auto"/>
          <w:sz w:val="24"/>
          <w:szCs w:val="24"/>
          <w:highlight w:val="none"/>
          <w:lang w:val="zh-CN" w:eastAsia="zh-CN" w:bidi="ar-SA"/>
        </w:rPr>
        <w:t>。</w:t>
      </w:r>
    </w:p>
    <w:p w14:paraId="36FFD4D9">
      <w:pPr>
        <w:spacing w:line="360" w:lineRule="auto"/>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合同履行期限：</w:t>
      </w:r>
      <w:r>
        <w:rPr>
          <w:rFonts w:hint="eastAsia" w:ascii="宋体" w:hAnsi="宋体" w:eastAsia="宋体" w:cs="宋体"/>
          <w:i w:val="0"/>
          <w:iCs w:val="0"/>
          <w:caps w:val="0"/>
          <w:color w:val="auto"/>
          <w:spacing w:val="0"/>
          <w:sz w:val="24"/>
          <w:szCs w:val="24"/>
          <w:highlight w:val="none"/>
          <w:shd w:val="clear"/>
        </w:rPr>
        <w:t>自合同签订之日起至工程交工验收合格之日止（施工计划工期为24个月，具体以施工实际实施时间为准）</w:t>
      </w:r>
      <w:r>
        <w:rPr>
          <w:rFonts w:hint="eastAsia" w:ascii="宋体" w:hAnsi="宋体" w:eastAsia="宋体" w:cs="宋体"/>
          <w:i w:val="0"/>
          <w:iCs w:val="0"/>
          <w:caps w:val="0"/>
          <w:color w:val="auto"/>
          <w:spacing w:val="0"/>
          <w:sz w:val="24"/>
          <w:szCs w:val="24"/>
          <w:highlight w:val="none"/>
          <w:shd w:val="clear"/>
          <w:lang w:val="en-US" w:eastAsia="zh-CN"/>
        </w:rPr>
        <w:t>。</w:t>
      </w:r>
    </w:p>
    <w:p w14:paraId="0B44C880">
      <w:pPr>
        <w:spacing w:line="360" w:lineRule="auto"/>
        <w:ind w:firstLine="480"/>
        <w:rPr>
          <w:rFonts w:hint="eastAsia" w:ascii="宋体" w:hAnsi="宋体" w:eastAsia="宋体" w:cs="宋体"/>
          <w:i w:val="0"/>
          <w:iCs w:val="0"/>
          <w:caps w:val="0"/>
          <w:color w:val="auto"/>
          <w:spacing w:val="0"/>
          <w:sz w:val="24"/>
          <w:szCs w:val="24"/>
          <w:highlight w:val="none"/>
          <w:shd w:val="clear"/>
        </w:rPr>
      </w:pPr>
      <w:r>
        <w:rPr>
          <w:rFonts w:hint="eastAsia" w:ascii="宋体" w:hAnsi="宋体" w:eastAsia="宋体" w:cs="宋体"/>
          <w:i w:val="0"/>
          <w:iCs w:val="0"/>
          <w:caps w:val="0"/>
          <w:color w:val="auto"/>
          <w:spacing w:val="0"/>
          <w:sz w:val="24"/>
          <w:szCs w:val="24"/>
          <w:highlight w:val="none"/>
          <w:shd w:val="clear"/>
        </w:rPr>
        <w:t>本项目是否接受联合体响应：否。</w:t>
      </w:r>
    </w:p>
    <w:p w14:paraId="6A0BDEE5">
      <w:pPr>
        <w:spacing w:line="360" w:lineRule="auto"/>
        <w:ind w:firstLine="480"/>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rPr>
        <w:t>本项目是否接受分包：</w:t>
      </w:r>
      <w:r>
        <w:rPr>
          <w:rFonts w:hint="eastAsia" w:ascii="宋体" w:hAnsi="宋体" w:eastAsia="宋体" w:cs="宋体"/>
          <w:i w:val="0"/>
          <w:iCs w:val="0"/>
          <w:caps w:val="0"/>
          <w:color w:val="auto"/>
          <w:spacing w:val="0"/>
          <w:sz w:val="24"/>
          <w:szCs w:val="24"/>
          <w:highlight w:val="none"/>
          <w:shd w:val="clear"/>
          <w:lang w:val="en-US" w:eastAsia="zh-CN"/>
        </w:rPr>
        <w:t>否</w:t>
      </w:r>
    </w:p>
    <w:p w14:paraId="1B41EFCB">
      <w:pPr>
        <w:keepNext/>
        <w:keepLines/>
        <w:spacing w:line="360" w:lineRule="auto"/>
        <w:ind w:firstLine="482"/>
        <w:outlineLvl w:val="2"/>
        <w:rPr>
          <w:rFonts w:hint="eastAsia" w:ascii="宋体" w:hAnsi="宋体" w:eastAsia="宋体" w:cs="宋体"/>
          <w:b/>
          <w:bCs/>
          <w:color w:val="auto"/>
          <w:sz w:val="24"/>
          <w:szCs w:val="24"/>
          <w:highlight w:val="none"/>
        </w:rPr>
      </w:pPr>
      <w:bookmarkStart w:id="12" w:name="_Toc28359003"/>
      <w:bookmarkStart w:id="13" w:name="_Toc35393791"/>
      <w:bookmarkStart w:id="14" w:name="_Toc28359080"/>
      <w:bookmarkStart w:id="15" w:name="_Toc35393622"/>
      <w:bookmarkStart w:id="16" w:name="_Toc38985264"/>
      <w:r>
        <w:rPr>
          <w:rFonts w:hint="eastAsia" w:ascii="宋体" w:hAnsi="宋体" w:eastAsia="宋体" w:cs="宋体"/>
          <w:b/>
          <w:bCs/>
          <w:color w:val="auto"/>
          <w:sz w:val="24"/>
          <w:szCs w:val="24"/>
          <w:highlight w:val="none"/>
        </w:rPr>
        <w:t>二、供应商的资格要求：</w:t>
      </w:r>
      <w:bookmarkEnd w:id="12"/>
      <w:bookmarkEnd w:id="13"/>
      <w:bookmarkEnd w:id="14"/>
      <w:bookmarkEnd w:id="15"/>
      <w:bookmarkEnd w:id="16"/>
    </w:p>
    <w:p w14:paraId="63BEEC87">
      <w:pPr>
        <w:spacing w:line="360" w:lineRule="auto"/>
        <w:ind w:firstLine="480"/>
        <w:rPr>
          <w:rFonts w:hint="eastAsia" w:ascii="宋体" w:hAnsi="宋体" w:eastAsia="宋体" w:cs="宋体"/>
          <w:color w:val="auto"/>
          <w:sz w:val="24"/>
          <w:szCs w:val="24"/>
          <w:highlight w:val="none"/>
          <w:lang w:val="en-US" w:eastAsia="zh-CN"/>
        </w:rPr>
      </w:pPr>
      <w:bookmarkStart w:id="17" w:name="_Toc28359081"/>
      <w:bookmarkStart w:id="18" w:name="_Toc38985265"/>
      <w:bookmarkStart w:id="19" w:name="_Toc35393623"/>
      <w:bookmarkStart w:id="20" w:name="_Toc28359004"/>
      <w:bookmarkStart w:id="21" w:name="_Toc35393792"/>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满足《中华人民共和国政府采购法》第二十二条规定</w:t>
      </w:r>
      <w:r>
        <w:rPr>
          <w:rFonts w:hint="eastAsia" w:ascii="宋体" w:hAnsi="宋体" w:eastAsia="宋体" w:cs="宋体"/>
          <w:color w:val="auto"/>
          <w:sz w:val="24"/>
          <w:szCs w:val="24"/>
          <w:highlight w:val="none"/>
          <w:lang w:eastAsia="zh-CN"/>
        </w:rPr>
        <w:t>。</w:t>
      </w:r>
    </w:p>
    <w:p w14:paraId="035D3283">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落实政府采购政策需满足的资格要求：</w:t>
      </w:r>
      <w:r>
        <w:rPr>
          <w:rFonts w:hint="eastAsia" w:ascii="宋体" w:hAnsi="宋体" w:eastAsia="宋体" w:cs="宋体"/>
          <w:color w:val="auto"/>
          <w:sz w:val="24"/>
          <w:szCs w:val="24"/>
          <w:highlight w:val="none"/>
          <w:lang w:val="en-US" w:eastAsia="en-US"/>
        </w:rPr>
        <w:t>本项目专门面向中小微型企业采购。残疾人福利性单位、监狱和戒毒企业（简称监狱企业）视同小型、微型企业。[</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en-US"/>
        </w:rPr>
        <w:t>按要求填写并提供《中小企业声明函》或《残疾人福利性单位声明函》，或提供由省级以上监狱管理局、戒毒管理局</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en-US"/>
        </w:rPr>
        <w:t>含新疆生产建设兵团</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en-US"/>
        </w:rPr>
        <w:t>出具的属于监狱企业的证明文件</w:t>
      </w:r>
      <w:r>
        <w:rPr>
          <w:rFonts w:hint="eastAsia" w:ascii="宋体" w:hAnsi="宋体" w:eastAsia="宋体" w:cs="宋体"/>
          <w:color w:val="auto"/>
          <w:sz w:val="24"/>
          <w:szCs w:val="24"/>
          <w:highlight w:val="none"/>
          <w:lang w:val="en-US" w:eastAsia="zh-CN"/>
        </w:rPr>
        <w:t>]</w:t>
      </w:r>
    </w:p>
    <w:p w14:paraId="1A8C0BDB">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en-US"/>
        </w:rPr>
        <w:t>为全国投资项目在线审批监管平台备案的工程咨询单位，且备案的专业包含公路</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en-US"/>
        </w:rPr>
        <w:t>咨询</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lang w:val="en-US" w:eastAsia="en-US"/>
        </w:rPr>
        <w:t>范围包含项目咨询</w:t>
      </w:r>
      <w:r>
        <w:rPr>
          <w:rFonts w:hint="eastAsia" w:ascii="宋体" w:hAnsi="宋体" w:eastAsia="宋体" w:cs="宋体"/>
          <w:color w:val="auto"/>
          <w:sz w:val="24"/>
          <w:szCs w:val="24"/>
          <w:highlight w:val="none"/>
          <w:lang w:val="en-US" w:eastAsia="zh-CN"/>
        </w:rPr>
        <w:t>。</w:t>
      </w:r>
    </w:p>
    <w:p w14:paraId="045F6EE0">
      <w:pPr>
        <w:spacing w:line="360" w:lineRule="auto"/>
        <w:ind w:firstLine="480"/>
        <w:rPr>
          <w:rFonts w:hint="eastAsia" w:ascii="宋体" w:hAnsi="宋体" w:eastAsia="宋体" w:cs="宋体"/>
          <w:i w:val="0"/>
          <w:iCs w:val="0"/>
          <w:caps w:val="0"/>
          <w:color w:val="auto"/>
          <w:spacing w:val="0"/>
          <w:sz w:val="24"/>
          <w:szCs w:val="24"/>
          <w:highlight w:val="none"/>
          <w:shd w:val="clear"/>
          <w:lang w:eastAsia="zh-CN"/>
        </w:rPr>
      </w:pPr>
      <w:r>
        <w:rPr>
          <w:rFonts w:hint="eastAsia" w:ascii="宋体" w:hAnsi="宋体" w:eastAsia="宋体" w:cs="宋体"/>
          <w:color w:val="auto"/>
          <w:sz w:val="24"/>
          <w:szCs w:val="24"/>
          <w:highlight w:val="none"/>
          <w:lang w:val="en-US" w:eastAsia="zh-CN"/>
        </w:rPr>
        <w:t>4.拟派</w:t>
      </w:r>
      <w:r>
        <w:rPr>
          <w:rFonts w:hint="eastAsia" w:ascii="宋体" w:hAnsi="宋体" w:eastAsia="宋体" w:cs="宋体"/>
          <w:i w:val="0"/>
          <w:iCs w:val="0"/>
          <w:caps w:val="0"/>
          <w:color w:val="auto"/>
          <w:spacing w:val="0"/>
          <w:sz w:val="24"/>
          <w:szCs w:val="24"/>
          <w:highlight w:val="none"/>
          <w:shd w:val="clear"/>
        </w:rPr>
        <w:t>项目负责人（即项目驻场服务人员），具有交通工程类中级及以上技术职称，且具有有效的中级及以上国家注册安全工程师证书（建筑施工安全专业）</w:t>
      </w:r>
      <w:r>
        <w:rPr>
          <w:rFonts w:hint="eastAsia" w:ascii="宋体" w:hAnsi="宋体" w:eastAsia="宋体" w:cs="宋体"/>
          <w:i w:val="0"/>
          <w:iCs w:val="0"/>
          <w:caps w:val="0"/>
          <w:color w:val="auto"/>
          <w:spacing w:val="0"/>
          <w:sz w:val="24"/>
          <w:szCs w:val="24"/>
          <w:highlight w:val="none"/>
          <w:shd w:val="clear"/>
          <w:lang w:eastAsia="zh-CN"/>
        </w:rPr>
        <w:t>。</w:t>
      </w:r>
    </w:p>
    <w:p w14:paraId="5792C2EE">
      <w:pPr>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5.拟派</w:t>
      </w:r>
      <w:r>
        <w:rPr>
          <w:rFonts w:hint="eastAsia" w:ascii="宋体" w:hAnsi="宋体" w:eastAsia="宋体" w:cs="宋体"/>
          <w:color w:val="auto"/>
          <w:sz w:val="24"/>
          <w:highlight w:val="none"/>
        </w:rPr>
        <w:t>项目负责人须为供应商自有员工，</w:t>
      </w:r>
      <w:r>
        <w:rPr>
          <w:rFonts w:hint="eastAsia" w:ascii="宋体" w:hAnsi="宋体" w:eastAsia="宋体" w:cs="宋体"/>
          <w:color w:val="auto"/>
          <w:sz w:val="24"/>
          <w:highlight w:val="none"/>
          <w:lang w:val="en-US" w:eastAsia="zh-CN"/>
        </w:rPr>
        <w:t>出具</w:t>
      </w:r>
      <w:r>
        <w:rPr>
          <w:rFonts w:hint="eastAsia" w:ascii="宋体" w:hAnsi="宋体" w:eastAsia="宋体" w:cs="宋体"/>
          <w:color w:val="auto"/>
          <w:sz w:val="24"/>
          <w:highlight w:val="none"/>
          <w:lang w:val="zh-CN" w:eastAsia="zh-CN"/>
        </w:rPr>
        <w:t>供应商为</w:t>
      </w:r>
      <w:r>
        <w:rPr>
          <w:rFonts w:hint="eastAsia" w:ascii="宋体" w:hAnsi="宋体" w:eastAsia="宋体" w:cs="宋体"/>
          <w:color w:val="auto"/>
          <w:sz w:val="24"/>
          <w:highlight w:val="none"/>
          <w:lang w:val="en-US" w:eastAsia="zh-CN"/>
        </w:rPr>
        <w:t>其</w:t>
      </w:r>
      <w:r>
        <w:rPr>
          <w:rFonts w:hint="eastAsia" w:ascii="宋体" w:hAnsi="宋体" w:eastAsia="宋体" w:cs="宋体"/>
          <w:color w:val="auto"/>
          <w:sz w:val="24"/>
          <w:highlight w:val="none"/>
          <w:lang w:val="zh-CN" w:eastAsia="zh-CN"/>
        </w:rPr>
        <w:t>缴纳的本采购公告发布之日前三个月内任意一个月的养老保险缴纳证明材料</w:t>
      </w:r>
      <w:r>
        <w:rPr>
          <w:rFonts w:hint="eastAsia" w:ascii="宋体" w:hAnsi="宋体" w:eastAsia="宋体" w:cs="宋体"/>
          <w:color w:val="auto"/>
          <w:sz w:val="24"/>
          <w:highlight w:val="none"/>
          <w:lang w:val="en-US" w:eastAsia="zh-CN"/>
        </w:rPr>
        <w:t>。社保缴纳证明材料需含缴费起止时间、缴费单位、缴费人员姓名并由社保机构加盖缴费证明专用章，社保机构官网上打印件与线下的盖章件具有同等效力，缴费单位须与供应商名称一致（供应商下属不具备独立法人资格的分支机构缴纳的社保视为本单位）。</w:t>
      </w:r>
    </w:p>
    <w:p w14:paraId="6856ECF9">
      <w:pPr>
        <w:spacing w:line="360" w:lineRule="auto"/>
        <w:ind w:firstLine="480"/>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en-US"/>
        </w:rPr>
        <w:t>在“信用中国”网站（www.creditchina.gov.cn）查询，供应商无被列入失信被执行人、重大税收违法</w:t>
      </w:r>
      <w:r>
        <w:rPr>
          <w:rFonts w:hint="eastAsia" w:ascii="宋体" w:hAnsi="宋体" w:eastAsia="宋体" w:cs="宋体"/>
          <w:color w:val="auto"/>
          <w:sz w:val="24"/>
          <w:szCs w:val="24"/>
          <w:highlight w:val="none"/>
          <w:lang w:val="en-US" w:eastAsia="zh-CN"/>
        </w:rPr>
        <w:t>失信主体</w:t>
      </w:r>
      <w:r>
        <w:rPr>
          <w:rFonts w:hint="eastAsia" w:ascii="宋体" w:hAnsi="宋体" w:eastAsia="宋体" w:cs="宋体"/>
          <w:color w:val="auto"/>
          <w:sz w:val="24"/>
          <w:szCs w:val="24"/>
          <w:highlight w:val="none"/>
          <w:lang w:val="en-US" w:eastAsia="en-US"/>
        </w:rPr>
        <w:t>名单、严重失信</w:t>
      </w:r>
      <w:r>
        <w:rPr>
          <w:rFonts w:hint="eastAsia" w:ascii="宋体" w:hAnsi="宋体" w:eastAsia="宋体" w:cs="宋体"/>
          <w:color w:val="auto"/>
          <w:sz w:val="24"/>
          <w:szCs w:val="24"/>
          <w:highlight w:val="none"/>
          <w:lang w:val="en-US" w:eastAsia="zh-CN"/>
        </w:rPr>
        <w:t>主体</w:t>
      </w:r>
      <w:r>
        <w:rPr>
          <w:rFonts w:hint="eastAsia" w:ascii="宋体" w:hAnsi="宋体" w:eastAsia="宋体" w:cs="宋体"/>
          <w:color w:val="auto"/>
          <w:sz w:val="24"/>
          <w:szCs w:val="24"/>
          <w:highlight w:val="none"/>
          <w:lang w:val="en-US" w:eastAsia="en-US"/>
        </w:rPr>
        <w:t>名单及其他不符合《中华人民共和国政府采购法》第二十二条规定条件的信用记录。（响应文件中无需提供证明材料）</w:t>
      </w:r>
    </w:p>
    <w:p w14:paraId="10BBE062">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w:t>
      </w:r>
      <w:bookmarkEnd w:id="17"/>
      <w:bookmarkEnd w:id="18"/>
      <w:bookmarkEnd w:id="19"/>
      <w:bookmarkEnd w:id="20"/>
      <w:bookmarkEnd w:id="21"/>
      <w:r>
        <w:rPr>
          <w:rFonts w:hint="eastAsia" w:ascii="宋体" w:hAnsi="宋体" w:eastAsia="宋体" w:cs="宋体"/>
          <w:b/>
          <w:bCs/>
          <w:color w:val="auto"/>
          <w:sz w:val="24"/>
          <w:szCs w:val="24"/>
          <w:highlight w:val="none"/>
        </w:rPr>
        <w:t>采购文件</w:t>
      </w:r>
    </w:p>
    <w:p w14:paraId="67A5F688">
      <w:pPr>
        <w:spacing w:line="360" w:lineRule="auto"/>
        <w:ind w:firstLine="480"/>
        <w:rPr>
          <w:rFonts w:hint="eastAsia" w:ascii="宋体" w:hAnsi="宋体" w:eastAsia="宋体" w:cs="宋体"/>
          <w:color w:val="auto"/>
          <w:sz w:val="24"/>
          <w:szCs w:val="24"/>
          <w:highlight w:val="none"/>
        </w:rPr>
      </w:pPr>
      <w:bookmarkStart w:id="22" w:name="_Toc28359005"/>
      <w:bookmarkStart w:id="23" w:name="_Toc28359082"/>
      <w:bookmarkStart w:id="24" w:name="_Toc38985266"/>
      <w:bookmarkStart w:id="25" w:name="_Toc35393793"/>
      <w:bookmarkStart w:id="26" w:name="_Toc35393624"/>
      <w:r>
        <w:rPr>
          <w:rFonts w:hint="eastAsia" w:ascii="宋体" w:hAnsi="宋体" w:eastAsia="宋体" w:cs="宋体"/>
          <w:color w:val="auto"/>
          <w:sz w:val="24"/>
          <w:szCs w:val="24"/>
          <w:highlight w:val="none"/>
        </w:rPr>
        <w:t>时间：自</w:t>
      </w:r>
      <w:r>
        <w:rPr>
          <w:rFonts w:hint="eastAsia" w:ascii="宋体" w:hAnsi="宋体" w:eastAsia="宋体" w:cs="宋体"/>
          <w:color w:val="auto"/>
          <w:sz w:val="24"/>
          <w:szCs w:val="24"/>
          <w:highlight w:val="none"/>
          <w:lang w:val="en-US" w:eastAsia="zh-CN"/>
        </w:rPr>
        <w:t>本</w:t>
      </w:r>
      <w:r>
        <w:rPr>
          <w:rFonts w:hint="eastAsia" w:ascii="宋体" w:hAnsi="宋体" w:eastAsia="宋体" w:cs="宋体"/>
          <w:color w:val="auto"/>
          <w:sz w:val="24"/>
          <w:szCs w:val="24"/>
          <w:highlight w:val="none"/>
        </w:rPr>
        <w:t>公告发布之日起5个工作日。</w:t>
      </w:r>
    </w:p>
    <w:p w14:paraId="4290D2B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地点：江苏政府采购网（网上注册登记成功后系统内免费下载）</w:t>
      </w:r>
    </w:p>
    <w:p w14:paraId="5015BB6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方式：本项目采用网上注册登记方式。</w:t>
      </w:r>
    </w:p>
    <w:p w14:paraId="232DF031">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14:paraId="6BEAF69A">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潜在供应商访问“苏采云”系统的网络地址和方法：“苏采云”系统的网址：http://jszfcg.jsczt.cn/。</w:t>
      </w:r>
    </w:p>
    <w:p w14:paraId="4F3656B4">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p>
    <w:p w14:paraId="45A2FA26">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采购文件（后缀名为“.kedt”）、供应商操作指南及政府采购客户端工具可通过“苏采云”系统--已报名项目--报名详情页面内相应链接进行下载。</w:t>
      </w:r>
    </w:p>
    <w:p w14:paraId="0AD54974">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招标代理机构（采购代理机构）将数据电文形式的采购文件加载至“苏采云”系统，供潜在供应商下载或者查阅。</w:t>
      </w:r>
    </w:p>
    <w:p w14:paraId="3B98073B">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6.</w:t>
      </w:r>
      <w:r>
        <w:rPr>
          <w:rFonts w:hint="eastAsia" w:ascii="宋体" w:hAnsi="宋体" w:eastAsia="宋体" w:cs="宋体"/>
          <w:color w:val="auto"/>
          <w:sz w:val="24"/>
          <w:szCs w:val="24"/>
          <w:highlight w:val="none"/>
        </w:rPr>
        <w:t>请潜在响应单位提前安装相应的控件（详见《江苏省政府采购管理交易系统（苏采云）供应商操作指南》）并使用谷歌浏览器登录“苏采云”系统参与不见面开评标。</w:t>
      </w:r>
    </w:p>
    <w:p w14:paraId="1BA9717E">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注：如潜在供应商未按上述要求操作，将自行承担所产生的风险。</w:t>
      </w:r>
    </w:p>
    <w:p w14:paraId="3E9BEC07">
      <w:pPr>
        <w:keepNext/>
        <w:keepLines/>
        <w:spacing w:line="360" w:lineRule="auto"/>
        <w:ind w:firstLine="482"/>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w:t>
      </w:r>
      <w:bookmarkEnd w:id="22"/>
      <w:bookmarkEnd w:id="23"/>
      <w:r>
        <w:rPr>
          <w:rFonts w:hint="eastAsia" w:ascii="宋体" w:hAnsi="宋体" w:eastAsia="宋体" w:cs="宋体"/>
          <w:b/>
          <w:bCs/>
          <w:color w:val="auto"/>
          <w:sz w:val="24"/>
          <w:szCs w:val="24"/>
          <w:highlight w:val="none"/>
        </w:rPr>
        <w:t>响应文件</w:t>
      </w:r>
      <w:bookmarkEnd w:id="24"/>
      <w:bookmarkEnd w:id="25"/>
      <w:bookmarkEnd w:id="26"/>
      <w:r>
        <w:rPr>
          <w:rFonts w:hint="eastAsia" w:ascii="宋体" w:hAnsi="宋体" w:eastAsia="宋体" w:cs="宋体"/>
          <w:b/>
          <w:bCs/>
          <w:color w:val="auto"/>
          <w:sz w:val="24"/>
          <w:szCs w:val="24"/>
          <w:highlight w:val="none"/>
        </w:rPr>
        <w:t>提交</w:t>
      </w:r>
    </w:p>
    <w:p w14:paraId="07AE5694">
      <w:pPr>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截止时间：</w:t>
      </w:r>
      <w:r>
        <w:rPr>
          <w:rFonts w:hint="eastAsia" w:ascii="宋体" w:hAnsi="宋体" w:eastAsia="宋体" w:cs="宋体"/>
          <w:bCs/>
          <w:color w:val="auto"/>
          <w:sz w:val="24"/>
          <w:szCs w:val="24"/>
          <w:highlight w:val="none"/>
        </w:rPr>
        <w:t>2025-</w:t>
      </w:r>
      <w:r>
        <w:rPr>
          <w:rFonts w:hint="eastAsia" w:ascii="宋体" w:hAnsi="宋体" w:cs="宋体"/>
          <w:bCs/>
          <w:color w:val="auto"/>
          <w:sz w:val="24"/>
          <w:szCs w:val="24"/>
          <w:highlight w:val="none"/>
          <w:lang w:val="en-US" w:eastAsia="zh-CN"/>
        </w:rPr>
        <w:t>11</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25</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时</w:t>
      </w:r>
      <w:r>
        <w:rPr>
          <w:rFonts w:hint="eastAsia" w:ascii="宋体" w:hAnsi="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分（北京时间）。</w:t>
      </w:r>
    </w:p>
    <w:p w14:paraId="6E6BE45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逾时，交易系统将拒绝接受上传响应文件电子文档。</w:t>
      </w:r>
    </w:p>
    <w:p w14:paraId="42234991">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p>
    <w:p w14:paraId="0BFAADF7">
      <w:pPr>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2.</w:t>
      </w:r>
      <w:r>
        <w:rPr>
          <w:rFonts w:hint="eastAsia" w:ascii="宋体" w:hAnsi="宋体" w:eastAsia="宋体" w:cs="宋体"/>
          <w:bCs/>
          <w:color w:val="auto"/>
          <w:sz w:val="24"/>
          <w:szCs w:val="24"/>
          <w:highlight w:val="none"/>
        </w:rPr>
        <w:t>线上开标地点：“苏采云”系统（网址：http://jszfcg.jsczt.cn/）“开标大厅”。</w:t>
      </w:r>
    </w:p>
    <w:p w14:paraId="33166651">
      <w:pPr>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3.</w:t>
      </w:r>
      <w:r>
        <w:rPr>
          <w:rFonts w:hint="eastAsia" w:ascii="宋体" w:hAnsi="宋体" w:eastAsia="宋体" w:cs="宋体"/>
          <w:bCs/>
          <w:color w:val="auto"/>
          <w:sz w:val="24"/>
          <w:szCs w:val="24"/>
          <w:highlight w:val="none"/>
        </w:rPr>
        <w:t>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2881293B">
      <w:pPr>
        <w:keepNext/>
        <w:keepLines/>
        <w:spacing w:line="360" w:lineRule="auto"/>
        <w:ind w:firstLine="482"/>
        <w:outlineLvl w:val="2"/>
        <w:rPr>
          <w:rFonts w:hint="eastAsia" w:ascii="宋体" w:hAnsi="宋体" w:eastAsia="宋体" w:cs="宋体"/>
          <w:b/>
          <w:bCs/>
          <w:color w:val="auto"/>
          <w:sz w:val="24"/>
          <w:szCs w:val="24"/>
          <w:highlight w:val="none"/>
        </w:rPr>
      </w:pPr>
      <w:bookmarkStart w:id="27" w:name="_Toc35393794"/>
      <w:bookmarkStart w:id="28" w:name="_Toc28359084"/>
      <w:bookmarkStart w:id="29" w:name="_Toc38985267"/>
      <w:bookmarkStart w:id="30" w:name="_Toc35393625"/>
      <w:bookmarkStart w:id="31" w:name="_Toc28359007"/>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、公告期限</w:t>
      </w:r>
      <w:bookmarkEnd w:id="27"/>
      <w:bookmarkEnd w:id="28"/>
      <w:bookmarkEnd w:id="29"/>
      <w:bookmarkEnd w:id="30"/>
      <w:bookmarkEnd w:id="31"/>
    </w:p>
    <w:p w14:paraId="680114F8">
      <w:pPr>
        <w:spacing w:line="360" w:lineRule="auto"/>
        <w:ind w:firstLine="480"/>
        <w:rPr>
          <w:rFonts w:hint="eastAsia" w:ascii="宋体" w:hAnsi="宋体" w:eastAsia="宋体" w:cs="宋体"/>
          <w:color w:val="auto"/>
          <w:sz w:val="24"/>
          <w:szCs w:val="24"/>
          <w:highlight w:val="none"/>
        </w:rPr>
      </w:pPr>
      <w:bookmarkStart w:id="32" w:name="_Toc38985268"/>
      <w:bookmarkStart w:id="33" w:name="_Toc35393626"/>
      <w:bookmarkStart w:id="34" w:name="_Toc35393795"/>
      <w:r>
        <w:rPr>
          <w:rFonts w:hint="eastAsia" w:ascii="宋体" w:hAnsi="宋体" w:eastAsia="宋体" w:cs="宋体"/>
          <w:color w:val="auto"/>
          <w:sz w:val="24"/>
          <w:szCs w:val="24"/>
          <w:highlight w:val="none"/>
        </w:rPr>
        <w:t>自本公告发布之日起3个工作日。</w:t>
      </w:r>
    </w:p>
    <w:p w14:paraId="68DDBB53">
      <w:pPr>
        <w:keepNext/>
        <w:keepLines/>
        <w:spacing w:line="360" w:lineRule="auto"/>
        <w:ind w:firstLine="482"/>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、其他补充事宜</w:t>
      </w:r>
      <w:bookmarkEnd w:id="32"/>
      <w:bookmarkEnd w:id="33"/>
      <w:bookmarkEnd w:id="34"/>
    </w:p>
    <w:p w14:paraId="444FAB21">
      <w:pPr>
        <w:tabs>
          <w:tab w:val="left" w:pos="900"/>
        </w:tabs>
        <w:spacing w:line="360" w:lineRule="auto"/>
        <w:ind w:firstLine="480"/>
        <w:rPr>
          <w:rFonts w:hint="eastAsia" w:ascii="宋体" w:hAnsi="宋体" w:eastAsia="宋体" w:cs="宋体"/>
          <w:color w:val="auto"/>
          <w:sz w:val="24"/>
          <w:szCs w:val="24"/>
          <w:highlight w:val="none"/>
        </w:rPr>
      </w:pPr>
      <w:bookmarkStart w:id="35" w:name="_Toc35393796"/>
      <w:bookmarkStart w:id="36" w:name="_Toc38985269"/>
      <w:bookmarkStart w:id="37" w:name="_Toc28359008"/>
      <w:bookmarkStart w:id="38" w:name="_Toc28359085"/>
      <w:bookmarkStart w:id="39" w:name="_Toc35393627"/>
      <w:r>
        <w:rPr>
          <w:rFonts w:hint="eastAsia" w:ascii="宋体" w:hAnsi="宋体" w:eastAsia="宋体" w:cs="宋体"/>
          <w:color w:val="auto"/>
          <w:sz w:val="24"/>
          <w:szCs w:val="24"/>
          <w:highlight w:val="none"/>
        </w:rPr>
        <w:t>1.响应保证金：免收</w:t>
      </w:r>
    </w:p>
    <w:p w14:paraId="0C430DB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.项目磋商活动模式：不见面远程磋商模式，供应商在各自地点通过“苏采云”系统参加磋商活动。</w:t>
      </w:r>
    </w:p>
    <w:p w14:paraId="214476E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.项目演示、样品、答辩等：无。</w:t>
      </w:r>
    </w:p>
    <w:p w14:paraId="2ECE128B">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p>
    <w:p w14:paraId="4067B3AF">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7EE35F91">
      <w:pPr>
        <w:keepNext/>
        <w:keepLines/>
        <w:spacing w:line="360" w:lineRule="auto"/>
        <w:ind w:firstLine="482"/>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、本次磋商联系方式</w:t>
      </w:r>
      <w:bookmarkEnd w:id="35"/>
      <w:bookmarkEnd w:id="36"/>
      <w:bookmarkEnd w:id="37"/>
      <w:bookmarkEnd w:id="38"/>
      <w:bookmarkEnd w:id="39"/>
    </w:p>
    <w:p w14:paraId="6362A64C">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7ED60A68">
      <w:pPr>
        <w:spacing w:line="360" w:lineRule="auto"/>
        <w:ind w:firstLine="480"/>
        <w:rPr>
          <w:rFonts w:hint="eastAsia" w:ascii="宋体" w:hAnsi="宋体" w:eastAsia="宋体" w:cs="宋体"/>
          <w:color w:val="auto"/>
          <w:sz w:val="24"/>
          <w:szCs w:val="24"/>
          <w:highlight w:val="none"/>
        </w:rPr>
      </w:pPr>
      <w:bookmarkStart w:id="40" w:name="_Toc28359009"/>
      <w:bookmarkStart w:id="41" w:name="_Toc28359086"/>
      <w:r>
        <w:rPr>
          <w:rFonts w:hint="eastAsia" w:ascii="宋体" w:hAnsi="宋体" w:eastAsia="宋体" w:cs="宋体"/>
          <w:color w:val="auto"/>
          <w:sz w:val="24"/>
          <w:szCs w:val="24"/>
          <w:highlight w:val="none"/>
        </w:rPr>
        <w:t>名    称：</w:t>
      </w:r>
      <w:r>
        <w:rPr>
          <w:rFonts w:hint="eastAsia" w:ascii="宋体" w:hAnsi="宋体" w:eastAsia="宋体" w:cs="宋体"/>
          <w:i w:val="0"/>
          <w:iCs w:val="0"/>
          <w:caps w:val="0"/>
          <w:color w:val="auto"/>
          <w:spacing w:val="0"/>
          <w:sz w:val="24"/>
          <w:szCs w:val="24"/>
          <w:highlight w:val="none"/>
          <w:shd w:val="clear"/>
        </w:rPr>
        <w:t>启东市交通事业发展中心、启东安瑞达开发建设有限公司</w:t>
      </w:r>
    </w:p>
    <w:p w14:paraId="48B9509E">
      <w:pPr>
        <w:spacing w:line="360" w:lineRule="auto"/>
        <w:ind w:firstLine="480"/>
        <w:rPr>
          <w:rFonts w:hint="eastAsia" w:ascii="宋体" w:hAnsi="宋体" w:eastAsia="宋体" w:cs="宋体"/>
          <w:i w:val="0"/>
          <w:iCs w:val="0"/>
          <w:caps w:val="0"/>
          <w:color w:val="auto"/>
          <w:spacing w:val="0"/>
          <w:sz w:val="24"/>
          <w:szCs w:val="24"/>
          <w:highlight w:val="none"/>
          <w:shd w:val="clear"/>
        </w:rPr>
      </w:pPr>
      <w:r>
        <w:rPr>
          <w:rFonts w:hint="eastAsia" w:ascii="宋体" w:hAnsi="宋体" w:eastAsia="宋体" w:cs="宋体"/>
          <w:color w:val="auto"/>
          <w:sz w:val="24"/>
          <w:szCs w:val="24"/>
          <w:highlight w:val="none"/>
        </w:rPr>
        <w:t>地    址：</w:t>
      </w:r>
      <w:r>
        <w:rPr>
          <w:rFonts w:hint="eastAsia" w:ascii="宋体" w:hAnsi="宋体" w:eastAsia="宋体" w:cs="宋体"/>
          <w:i w:val="0"/>
          <w:iCs w:val="0"/>
          <w:caps w:val="0"/>
          <w:color w:val="auto"/>
          <w:spacing w:val="0"/>
          <w:sz w:val="24"/>
          <w:szCs w:val="24"/>
          <w:highlight w:val="none"/>
          <w:shd w:val="clear"/>
        </w:rPr>
        <w:t>启东市汇龙镇</w:t>
      </w:r>
      <w:r>
        <w:rPr>
          <w:rFonts w:hint="eastAsia" w:ascii="宋体" w:hAnsi="宋体" w:eastAsia="宋体" w:cs="宋体"/>
          <w:i w:val="0"/>
          <w:iCs w:val="0"/>
          <w:caps w:val="0"/>
          <w:color w:val="auto"/>
          <w:spacing w:val="0"/>
          <w:sz w:val="24"/>
          <w:szCs w:val="24"/>
          <w:highlight w:val="none"/>
          <w:shd w:val="clear"/>
          <w:lang w:eastAsia="zh-CN"/>
        </w:rPr>
        <w:t>金桥路199号</w:t>
      </w:r>
    </w:p>
    <w:p w14:paraId="06FD4223">
      <w:pPr>
        <w:spacing w:line="360" w:lineRule="auto"/>
        <w:ind w:firstLine="480"/>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rPr>
        <w:t>联 系 人：王女士</w:t>
      </w:r>
      <w:r>
        <w:rPr>
          <w:rFonts w:hint="eastAsia" w:ascii="宋体" w:hAnsi="宋体" w:eastAsia="宋体" w:cs="宋体"/>
          <w:i w:val="0"/>
          <w:iCs w:val="0"/>
          <w:caps w:val="0"/>
          <w:color w:val="auto"/>
          <w:spacing w:val="0"/>
          <w:sz w:val="24"/>
          <w:szCs w:val="24"/>
          <w:highlight w:val="none"/>
          <w:shd w:val="clear"/>
          <w:lang w:val="en-US" w:eastAsia="zh-CN"/>
        </w:rPr>
        <w:t xml:space="preserve"> </w:t>
      </w:r>
    </w:p>
    <w:p w14:paraId="1F46CB27">
      <w:pPr>
        <w:spacing w:line="360" w:lineRule="auto"/>
        <w:ind w:firstLine="480"/>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rPr>
        <w:t>联系方式：0513-83300026</w:t>
      </w:r>
      <w:r>
        <w:rPr>
          <w:rFonts w:hint="eastAsia" w:ascii="宋体" w:hAnsi="宋体" w:eastAsia="宋体" w:cs="宋体"/>
          <w:i w:val="0"/>
          <w:iCs w:val="0"/>
          <w:caps w:val="0"/>
          <w:color w:val="auto"/>
          <w:spacing w:val="0"/>
          <w:sz w:val="24"/>
          <w:szCs w:val="24"/>
          <w:highlight w:val="none"/>
          <w:shd w:val="clear"/>
          <w:lang w:val="en-US" w:eastAsia="zh-CN"/>
        </w:rPr>
        <w:t xml:space="preserve">   </w:t>
      </w:r>
    </w:p>
    <w:p w14:paraId="6B95FBE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bookmarkEnd w:id="40"/>
      <w:bookmarkEnd w:id="41"/>
      <w:bookmarkStart w:id="42" w:name="_Toc28359010"/>
      <w:bookmarkStart w:id="43" w:name="_Toc28359087"/>
      <w:r>
        <w:rPr>
          <w:rFonts w:hint="eastAsia" w:ascii="宋体" w:hAnsi="宋体" w:eastAsia="宋体" w:cs="宋体"/>
          <w:color w:val="auto"/>
          <w:sz w:val="24"/>
          <w:szCs w:val="24"/>
          <w:highlight w:val="none"/>
        </w:rPr>
        <w:t>采购代理机构信息</w:t>
      </w:r>
    </w:p>
    <w:p w14:paraId="58636A3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称：江苏睿致诚工程咨询有限公司</w:t>
      </w:r>
    </w:p>
    <w:p w14:paraId="79D2714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址：南京市江宁区江南路697号金轮星际中心A1栋7楼</w:t>
      </w:r>
    </w:p>
    <w:p w14:paraId="5F3D9BB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 系 人：</w:t>
      </w:r>
      <w:r>
        <w:rPr>
          <w:rFonts w:hint="eastAsia" w:ascii="宋体" w:hAnsi="宋体" w:eastAsia="宋体" w:cs="宋体"/>
          <w:color w:val="auto"/>
          <w:sz w:val="24"/>
          <w:szCs w:val="24"/>
          <w:highlight w:val="none"/>
          <w:lang w:val="en-US" w:eastAsia="zh-CN"/>
        </w:rPr>
        <w:t>尹建</w:t>
      </w:r>
      <w:r>
        <w:rPr>
          <w:rFonts w:hint="eastAsia" w:ascii="宋体" w:hAnsi="宋体" w:eastAsia="宋体" w:cs="宋体"/>
          <w:color w:val="auto"/>
          <w:sz w:val="24"/>
          <w:szCs w:val="24"/>
          <w:highlight w:val="none"/>
        </w:rPr>
        <w:t>、陈小龙</w:t>
      </w:r>
    </w:p>
    <w:p w14:paraId="65EE21EF">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highlight w:val="none"/>
          <w:lang w:val="en-US" w:eastAsia="zh-CN"/>
        </w:rPr>
        <w:t>18906275357</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尹建</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、18932207883（陈小龙）</w:t>
      </w:r>
    </w:p>
    <w:p w14:paraId="5DA4D826">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4D4C04EC">
      <w:pPr>
        <w:widowControl/>
        <w:spacing w:line="360" w:lineRule="auto"/>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rPr>
        <w:t>磋商文件制作人：</w:t>
      </w:r>
      <w:r>
        <w:rPr>
          <w:rFonts w:hint="eastAsia" w:ascii="宋体" w:hAnsi="宋体" w:eastAsia="宋体" w:cs="宋体"/>
          <w:color w:val="auto"/>
          <w:sz w:val="24"/>
          <w:highlight w:val="none"/>
          <w:lang w:val="en-US" w:eastAsia="zh-CN"/>
        </w:rPr>
        <w:t>18906275357</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尹建</w:t>
      </w:r>
      <w:r>
        <w:rPr>
          <w:rFonts w:hint="eastAsia" w:ascii="宋体" w:hAnsi="宋体" w:eastAsia="宋体" w:cs="宋体"/>
          <w:color w:val="auto"/>
          <w:sz w:val="24"/>
          <w:highlight w:val="none"/>
        </w:rPr>
        <w:t>）</w:t>
      </w:r>
    </w:p>
    <w:p w14:paraId="456A39D2">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项目磋商经办人：</w:t>
      </w:r>
      <w:r>
        <w:rPr>
          <w:rFonts w:hint="eastAsia" w:ascii="宋体" w:hAnsi="宋体" w:eastAsia="宋体" w:cs="宋体"/>
          <w:color w:val="auto"/>
          <w:sz w:val="24"/>
          <w:highlight w:val="none"/>
          <w:lang w:val="en-US" w:eastAsia="zh-CN"/>
        </w:rPr>
        <w:t>18906275357</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尹建</w:t>
      </w:r>
      <w:r>
        <w:rPr>
          <w:rFonts w:hint="eastAsia" w:ascii="宋体" w:hAnsi="宋体" w:eastAsia="宋体" w:cs="宋体"/>
          <w:color w:val="auto"/>
          <w:sz w:val="24"/>
          <w:highlight w:val="none"/>
        </w:rPr>
        <w:t>）</w:t>
      </w:r>
    </w:p>
    <w:p w14:paraId="7EA97B77">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交易系统软件维护人员：0519-86722801、0519-86722806</w:t>
      </w:r>
    </w:p>
    <w:bookmarkEnd w:id="42"/>
    <w:bookmarkEnd w:id="43"/>
    <w:p w14:paraId="0BB13105">
      <w:pPr>
        <w:ind w:right="840"/>
        <w:rPr>
          <w:rFonts w:hint="eastAsia" w:ascii="宋体" w:hAnsi="宋体" w:eastAsia="宋体" w:cs="宋体"/>
          <w:color w:val="auto"/>
          <w:sz w:val="24"/>
          <w:szCs w:val="24"/>
          <w:highlight w:val="none"/>
        </w:rPr>
      </w:pPr>
    </w:p>
    <w:p w14:paraId="29817EAA">
      <w:pPr>
        <w:keepNext/>
        <w:jc w:val="center"/>
        <w:outlineLvl w:val="0"/>
        <w:rPr>
          <w:rFonts w:hint="eastAsia" w:ascii="宋体" w:hAnsi="宋体" w:eastAsia="宋体" w:cs="宋体"/>
          <w:color w:val="auto"/>
          <w:sz w:val="44"/>
          <w:szCs w:val="44"/>
          <w:highlight w:val="none"/>
        </w:rPr>
      </w:pPr>
      <w:bookmarkStart w:id="44" w:name="_Toc120614211"/>
      <w:r>
        <w:rPr>
          <w:rFonts w:hint="eastAsia" w:ascii="宋体" w:hAnsi="宋体" w:eastAsia="宋体" w:cs="宋体"/>
          <w:color w:val="auto"/>
          <w:sz w:val="44"/>
          <w:szCs w:val="44"/>
          <w:highlight w:val="none"/>
        </w:rPr>
        <w:br w:type="page" w:clear="all"/>
      </w:r>
      <w:r>
        <w:rPr>
          <w:rFonts w:hint="eastAsia" w:ascii="宋体" w:hAnsi="宋体" w:eastAsia="宋体" w:cs="宋体"/>
          <w:color w:val="auto"/>
          <w:sz w:val="44"/>
          <w:szCs w:val="44"/>
          <w:highlight w:val="none"/>
        </w:rPr>
        <w:t>第二</w:t>
      </w:r>
      <w:r>
        <w:rPr>
          <w:rFonts w:hint="eastAsia" w:ascii="宋体" w:hAnsi="宋体" w:eastAsia="宋体" w:cs="宋体"/>
          <w:color w:val="auto"/>
          <w:sz w:val="44"/>
          <w:szCs w:val="44"/>
          <w:highlight w:val="none"/>
          <w:lang w:val="en-US" w:eastAsia="zh-CN"/>
        </w:rPr>
        <w:t>部分</w:t>
      </w:r>
      <w:r>
        <w:rPr>
          <w:rFonts w:hint="eastAsia" w:ascii="宋体" w:hAnsi="宋体" w:eastAsia="宋体" w:cs="宋体"/>
          <w:color w:val="auto"/>
          <w:sz w:val="44"/>
          <w:szCs w:val="44"/>
          <w:highlight w:val="none"/>
        </w:rPr>
        <w:t xml:space="preserve">  </w:t>
      </w:r>
      <w:bookmarkEnd w:id="1"/>
      <w:bookmarkEnd w:id="2"/>
      <w:bookmarkEnd w:id="3"/>
      <w:bookmarkEnd w:id="4"/>
      <w:bookmarkEnd w:id="5"/>
      <w:bookmarkEnd w:id="44"/>
      <w:r>
        <w:rPr>
          <w:rFonts w:hint="eastAsia" w:ascii="宋体" w:hAnsi="宋体" w:eastAsia="宋体" w:cs="宋体"/>
          <w:color w:val="auto"/>
          <w:sz w:val="44"/>
          <w:szCs w:val="44"/>
          <w:highlight w:val="none"/>
          <w:lang w:val="en-US" w:eastAsia="zh-CN"/>
        </w:rPr>
        <w:t>磋商</w:t>
      </w:r>
      <w:r>
        <w:rPr>
          <w:rFonts w:hint="eastAsia" w:ascii="宋体" w:hAnsi="宋体" w:eastAsia="宋体" w:cs="宋体"/>
          <w:color w:val="auto"/>
          <w:sz w:val="44"/>
          <w:szCs w:val="44"/>
          <w:highlight w:val="none"/>
        </w:rPr>
        <w:t>须知</w:t>
      </w:r>
    </w:p>
    <w:p w14:paraId="4F930D90">
      <w:pPr>
        <w:spacing w:line="360" w:lineRule="auto"/>
        <w:ind w:firstLine="482"/>
        <w:outlineLvl w:val="2"/>
        <w:rPr>
          <w:rFonts w:hint="eastAsia" w:ascii="宋体" w:hAnsi="宋体" w:eastAsia="宋体" w:cs="宋体"/>
          <w:b/>
          <w:bCs/>
          <w:color w:val="auto"/>
          <w:sz w:val="24"/>
          <w:szCs w:val="24"/>
          <w:highlight w:val="none"/>
        </w:rPr>
      </w:pPr>
      <w:bookmarkStart w:id="45" w:name="_Toc513029203"/>
      <w:bookmarkStart w:id="46" w:name="_Toc16938519"/>
      <w:bookmarkStart w:id="47" w:name="_Toc20823275"/>
      <w:bookmarkStart w:id="48" w:name="_Toc120614214"/>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总则</w:t>
      </w:r>
      <w:bookmarkEnd w:id="45"/>
      <w:bookmarkEnd w:id="46"/>
      <w:bookmarkEnd w:id="47"/>
      <w:bookmarkEnd w:id="48"/>
    </w:p>
    <w:p w14:paraId="7199987A">
      <w:pPr>
        <w:spacing w:line="360" w:lineRule="auto"/>
        <w:ind w:firstLine="480"/>
        <w:outlineLvl w:val="3"/>
        <w:rPr>
          <w:rFonts w:hint="eastAsia" w:ascii="宋体" w:hAnsi="宋体" w:eastAsia="宋体" w:cs="宋体"/>
          <w:color w:val="auto"/>
          <w:sz w:val="24"/>
          <w:szCs w:val="24"/>
          <w:highlight w:val="none"/>
        </w:rPr>
      </w:pPr>
      <w:bookmarkStart w:id="49" w:name="_Hlt16619475"/>
      <w:bookmarkEnd w:id="49"/>
      <w:bookmarkStart w:id="50" w:name="_Toc458694821"/>
      <w:bookmarkStart w:id="51" w:name="_Toc16938520"/>
      <w:bookmarkStart w:id="52" w:name="_Toc513029204"/>
      <w:bookmarkStart w:id="53" w:name="_Toc20823276"/>
      <w:r>
        <w:rPr>
          <w:rFonts w:hint="eastAsia" w:ascii="宋体" w:hAnsi="宋体" w:eastAsia="宋体" w:cs="宋体"/>
          <w:color w:val="auto"/>
          <w:sz w:val="24"/>
          <w:szCs w:val="24"/>
          <w:highlight w:val="none"/>
        </w:rPr>
        <w:t>1</w:t>
      </w:r>
      <w:bookmarkEnd w:id="50"/>
      <w:r>
        <w:rPr>
          <w:rFonts w:hint="eastAsia" w:ascii="宋体" w:hAnsi="宋体" w:eastAsia="宋体" w:cs="宋体"/>
          <w:color w:val="auto"/>
          <w:sz w:val="24"/>
          <w:szCs w:val="24"/>
          <w:highlight w:val="none"/>
        </w:rPr>
        <w:t>.采购方式</w:t>
      </w:r>
      <w:bookmarkEnd w:id="51"/>
      <w:bookmarkEnd w:id="52"/>
      <w:bookmarkEnd w:id="53"/>
    </w:p>
    <w:p w14:paraId="2FF0224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1.1本次采取竞争性磋商方式，本磋商文件仅适用于磋商公告中所述项目。</w:t>
      </w:r>
    </w:p>
    <w:p w14:paraId="217915B3">
      <w:pPr>
        <w:spacing w:line="360" w:lineRule="auto"/>
        <w:ind w:firstLine="480"/>
        <w:outlineLvl w:val="3"/>
        <w:rPr>
          <w:rFonts w:hint="eastAsia" w:ascii="宋体" w:hAnsi="宋体" w:eastAsia="宋体" w:cs="宋体"/>
          <w:color w:val="auto"/>
          <w:sz w:val="24"/>
          <w:szCs w:val="24"/>
          <w:highlight w:val="none"/>
        </w:rPr>
      </w:pPr>
      <w:bookmarkStart w:id="54" w:name="_Toc20823277"/>
      <w:bookmarkStart w:id="55" w:name="_Toc16938521"/>
      <w:bookmarkStart w:id="56" w:name="_Toc513029205"/>
      <w:r>
        <w:rPr>
          <w:rFonts w:hint="eastAsia" w:ascii="宋体" w:hAnsi="宋体" w:eastAsia="宋体" w:cs="宋体"/>
          <w:color w:val="auto"/>
          <w:sz w:val="24"/>
          <w:szCs w:val="24"/>
          <w:highlight w:val="none"/>
        </w:rPr>
        <w:t>2.合格的</w:t>
      </w:r>
      <w:bookmarkEnd w:id="54"/>
      <w:bookmarkEnd w:id="55"/>
      <w:bookmarkEnd w:id="56"/>
      <w:r>
        <w:rPr>
          <w:rFonts w:hint="eastAsia" w:ascii="宋体" w:hAnsi="宋体" w:eastAsia="宋体" w:cs="宋体"/>
          <w:color w:val="auto"/>
          <w:sz w:val="24"/>
          <w:szCs w:val="24"/>
          <w:highlight w:val="none"/>
        </w:rPr>
        <w:t>供应商</w:t>
      </w:r>
    </w:p>
    <w:p w14:paraId="2FE8623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2.1满足磋商公告中供应商资格要求的规定。</w:t>
      </w:r>
    </w:p>
    <w:p w14:paraId="53EA2B8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2.2满足本文件实质性</w:t>
      </w:r>
      <w:r>
        <w:rPr>
          <w:rFonts w:hint="eastAsia" w:ascii="宋体" w:hAnsi="宋体" w:eastAsia="宋体" w:cs="宋体"/>
          <w:color w:val="auto"/>
          <w:sz w:val="24"/>
          <w:szCs w:val="24"/>
          <w:highlight w:val="none"/>
          <w:lang w:val="en-US" w:eastAsia="zh-CN"/>
        </w:rPr>
        <w:t>条款</w:t>
      </w:r>
      <w:r>
        <w:rPr>
          <w:rFonts w:hint="eastAsia" w:ascii="宋体" w:hAnsi="宋体" w:eastAsia="宋体" w:cs="宋体"/>
          <w:color w:val="auto"/>
          <w:sz w:val="24"/>
          <w:szCs w:val="24"/>
          <w:highlight w:val="none"/>
        </w:rPr>
        <w:t>的规定。</w:t>
      </w:r>
    </w:p>
    <w:p w14:paraId="41DB9DB5">
      <w:pPr>
        <w:spacing w:line="360" w:lineRule="auto"/>
        <w:ind w:firstLine="480"/>
        <w:outlineLvl w:val="3"/>
        <w:rPr>
          <w:rFonts w:hint="eastAsia" w:ascii="宋体" w:hAnsi="宋体" w:eastAsia="宋体" w:cs="宋体"/>
          <w:color w:val="auto"/>
          <w:sz w:val="24"/>
          <w:szCs w:val="24"/>
          <w:highlight w:val="none"/>
        </w:rPr>
      </w:pPr>
      <w:bookmarkStart w:id="57" w:name="_Toc513029206"/>
      <w:bookmarkStart w:id="58" w:name="_Toc16938522"/>
      <w:bookmarkStart w:id="59" w:name="_Toc20823278"/>
      <w:r>
        <w:rPr>
          <w:rFonts w:hint="eastAsia" w:ascii="宋体" w:hAnsi="宋体" w:eastAsia="宋体" w:cs="宋体"/>
          <w:color w:val="auto"/>
          <w:sz w:val="24"/>
          <w:szCs w:val="24"/>
          <w:highlight w:val="none"/>
        </w:rPr>
        <w:t>3.适用法律</w:t>
      </w:r>
      <w:bookmarkEnd w:id="57"/>
      <w:bookmarkEnd w:id="58"/>
      <w:bookmarkEnd w:id="59"/>
    </w:p>
    <w:p w14:paraId="6863E02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3.1本次采购及由此产生的合同受中华人民共和国有关的法律法规制约和保护。</w:t>
      </w:r>
    </w:p>
    <w:p w14:paraId="61D9422F">
      <w:pPr>
        <w:spacing w:line="360" w:lineRule="auto"/>
        <w:ind w:firstLine="480"/>
        <w:outlineLvl w:val="3"/>
        <w:rPr>
          <w:rFonts w:hint="eastAsia" w:ascii="宋体" w:hAnsi="宋体" w:eastAsia="宋体" w:cs="宋体"/>
          <w:color w:val="auto"/>
          <w:sz w:val="24"/>
          <w:szCs w:val="24"/>
          <w:highlight w:val="none"/>
        </w:rPr>
      </w:pPr>
      <w:bookmarkStart w:id="60" w:name="_Toc16938523"/>
      <w:bookmarkStart w:id="61" w:name="_Toc513029207"/>
      <w:bookmarkStart w:id="62" w:name="_Toc20823279"/>
      <w:bookmarkStart w:id="63" w:name="_Toc462564067"/>
      <w:r>
        <w:rPr>
          <w:rFonts w:hint="eastAsia" w:ascii="宋体" w:hAnsi="宋体" w:eastAsia="宋体" w:cs="宋体"/>
          <w:color w:val="auto"/>
          <w:sz w:val="24"/>
          <w:szCs w:val="24"/>
          <w:highlight w:val="none"/>
        </w:rPr>
        <w:t>4.磋商费用</w:t>
      </w:r>
      <w:bookmarkEnd w:id="60"/>
      <w:bookmarkEnd w:id="61"/>
      <w:bookmarkEnd w:id="62"/>
      <w:bookmarkEnd w:id="63"/>
    </w:p>
    <w:p w14:paraId="0F387CEE">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4.1供应商应自行承担所有与参加磋商有关的费用。无论磋商过程中的做法和结果如何，采购人及采购代理机构在任何情况下均无义务和责任承担这些费用。</w:t>
      </w:r>
    </w:p>
    <w:p w14:paraId="4B85E12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4.2本项目不收取标书工本费。</w:t>
      </w:r>
    </w:p>
    <w:p w14:paraId="66BCA0E5">
      <w:pPr>
        <w:spacing w:line="360" w:lineRule="auto"/>
        <w:ind w:firstLine="480"/>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5.磋商文件的约束力</w:t>
      </w:r>
    </w:p>
    <w:p w14:paraId="58DA1D6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供应商一旦参加本项目采购活动，即被认为接受了本磋商文件的规定和约束。</w:t>
      </w:r>
    </w:p>
    <w:p w14:paraId="46A02C55">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磋商文件的解释</w:t>
      </w:r>
    </w:p>
    <w:p w14:paraId="663EB1E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磋商文件需求部分（供应商资格要求、项目需求、商务技术评分标准）由采购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解释，</w:t>
      </w:r>
      <w:r>
        <w:rPr>
          <w:rFonts w:hint="eastAsia" w:ascii="宋体" w:hAnsi="宋体" w:eastAsia="宋体" w:cs="宋体"/>
          <w:color w:val="auto"/>
          <w:sz w:val="24"/>
          <w:szCs w:val="24"/>
          <w:highlight w:val="none"/>
          <w:lang w:eastAsia="zh-CN"/>
        </w:rPr>
        <w:t>其他部分</w:t>
      </w:r>
      <w:r>
        <w:rPr>
          <w:rFonts w:hint="eastAsia" w:ascii="宋体" w:hAnsi="宋体" w:eastAsia="宋体" w:cs="宋体"/>
          <w:color w:val="auto"/>
          <w:sz w:val="24"/>
          <w:szCs w:val="24"/>
          <w:highlight w:val="none"/>
        </w:rPr>
        <w:t>由采购代理机构解释。</w:t>
      </w:r>
    </w:p>
    <w:p w14:paraId="70DDBA65">
      <w:pPr>
        <w:spacing w:line="360" w:lineRule="auto"/>
        <w:ind w:firstLine="482"/>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磋商文件</w:t>
      </w:r>
    </w:p>
    <w:p w14:paraId="19D8C78C">
      <w:pPr>
        <w:spacing w:line="360" w:lineRule="auto"/>
        <w:ind w:firstLine="480"/>
        <w:outlineLvl w:val="3"/>
        <w:rPr>
          <w:rFonts w:hint="eastAsia" w:ascii="宋体" w:hAnsi="宋体" w:eastAsia="宋体" w:cs="宋体"/>
          <w:color w:val="auto"/>
          <w:sz w:val="24"/>
          <w:szCs w:val="24"/>
          <w:highlight w:val="none"/>
        </w:rPr>
      </w:pPr>
      <w:bookmarkStart w:id="64" w:name="_Toc513029210"/>
      <w:bookmarkStart w:id="65" w:name="_Toc20823282"/>
      <w:bookmarkStart w:id="66" w:name="_Toc16938526"/>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.磋商文件构成</w:t>
      </w:r>
      <w:bookmarkEnd w:id="64"/>
      <w:bookmarkEnd w:id="65"/>
      <w:bookmarkEnd w:id="66"/>
    </w:p>
    <w:p w14:paraId="2468023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.1</w:t>
      </w:r>
      <w:r>
        <w:rPr>
          <w:rFonts w:hint="eastAsia" w:ascii="宋体" w:hAnsi="宋体" w:eastAsia="宋体" w:cs="宋体"/>
          <w:color w:val="auto"/>
          <w:sz w:val="24"/>
          <w:szCs w:val="24"/>
          <w:highlight w:val="none"/>
        </w:rPr>
        <w:t>磋商文件由以下部分组成：</w:t>
      </w:r>
    </w:p>
    <w:p w14:paraId="3ED6E927">
      <w:pPr>
        <w:spacing w:line="360" w:lineRule="auto"/>
        <w:ind w:firstLine="48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竞争性磋商公告</w:t>
      </w:r>
    </w:p>
    <w:p w14:paraId="6FD0AF3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须知</w:t>
      </w:r>
    </w:p>
    <w:p w14:paraId="2406623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需求</w:t>
      </w:r>
    </w:p>
    <w:p w14:paraId="690148D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）评审方法与评审标准</w:t>
      </w:r>
    </w:p>
    <w:p w14:paraId="709103E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）响应文件格式</w:t>
      </w:r>
    </w:p>
    <w:p w14:paraId="6147492F">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附件</w:t>
      </w:r>
    </w:p>
    <w:p w14:paraId="6A82C2A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请仔细检查磋商文件是否齐全，如有缺漏请立即与采购代理机构联系解决。</w:t>
      </w:r>
    </w:p>
    <w:p w14:paraId="14C1A50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供应商应认真阅读磋商文件中所有的事项、格式、条款和规范等要求。按磋商文件要求和规定编制响应文件，并保证所提供的全部资料的真实性，以使其响应文件对磋商文件做出实质性响应，否则其风险由供应商自行承担。</w:t>
      </w:r>
    </w:p>
    <w:p w14:paraId="1435465C">
      <w:pPr>
        <w:spacing w:line="360" w:lineRule="auto"/>
        <w:ind w:firstLine="480"/>
        <w:outlineLvl w:val="3"/>
        <w:rPr>
          <w:rFonts w:hint="eastAsia" w:ascii="宋体" w:hAnsi="宋体" w:eastAsia="宋体" w:cs="宋体"/>
          <w:color w:val="auto"/>
          <w:sz w:val="24"/>
          <w:szCs w:val="24"/>
          <w:highlight w:val="none"/>
        </w:rPr>
      </w:pPr>
      <w:bookmarkStart w:id="67" w:name="_Toc20823283"/>
      <w:bookmarkStart w:id="68" w:name="_Toc513029211"/>
      <w:bookmarkStart w:id="69" w:name="_Toc462564070"/>
      <w:bookmarkStart w:id="70" w:name="_Toc16938527"/>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.磋商文件的澄清</w:t>
      </w:r>
      <w:bookmarkEnd w:id="67"/>
      <w:bookmarkEnd w:id="68"/>
      <w:bookmarkEnd w:id="69"/>
      <w:bookmarkEnd w:id="70"/>
    </w:p>
    <w:p w14:paraId="66E8C5E5">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.1</w:t>
      </w:r>
      <w:r>
        <w:rPr>
          <w:rFonts w:hint="eastAsia" w:ascii="宋体" w:hAnsi="宋体" w:eastAsia="宋体" w:cs="宋体"/>
          <w:color w:val="auto"/>
          <w:sz w:val="24"/>
          <w:szCs w:val="24"/>
          <w:highlight w:val="none"/>
        </w:rPr>
        <w:t>任何要求对磋商文件进行澄清的供应商，应在提交首次响应文件截止时间五日前按磋商公告中的通讯地址，以书面形式通知</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有权对发出的磋商文件进行必要的澄清或修改。</w:t>
      </w:r>
    </w:p>
    <w:p w14:paraId="651BACD5">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采购人视情组织答疑会</w:t>
      </w:r>
    </w:p>
    <w:p w14:paraId="3CBA678B">
      <w:pPr>
        <w:spacing w:line="360" w:lineRule="auto"/>
        <w:ind w:firstLine="480"/>
        <w:rPr>
          <w:rFonts w:hint="eastAsia" w:ascii="宋体" w:hAnsi="宋体" w:eastAsia="宋体" w:cs="宋体"/>
          <w:color w:val="auto"/>
          <w:sz w:val="24"/>
          <w:szCs w:val="24"/>
          <w:highlight w:val="none"/>
        </w:rPr>
      </w:pPr>
      <w:bookmarkStart w:id="71" w:name="_Toc16938528"/>
      <w:bookmarkStart w:id="72" w:name="_Toc462564071"/>
      <w:bookmarkStart w:id="73" w:name="_Toc20823284"/>
      <w:bookmarkStart w:id="74" w:name="_Toc513029212"/>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.磋商文件的修改</w:t>
      </w:r>
      <w:bookmarkEnd w:id="71"/>
      <w:bookmarkEnd w:id="72"/>
      <w:bookmarkEnd w:id="73"/>
      <w:bookmarkEnd w:id="74"/>
    </w:p>
    <w:p w14:paraId="7873FCA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3.1在响应文件提交截止时间前，</w:t>
      </w:r>
      <w:r>
        <w:rPr>
          <w:rFonts w:hint="eastAsia" w:ascii="宋体" w:hAnsi="宋体" w:eastAsia="宋体" w:cs="宋体"/>
          <w:color w:val="auto"/>
          <w:sz w:val="24"/>
          <w:szCs w:val="24"/>
          <w:highlight w:val="none"/>
          <w:lang w:val="en-US" w:eastAsia="zh-CN"/>
        </w:rPr>
        <w:t>采购人或采购代理机构</w:t>
      </w:r>
      <w:r>
        <w:rPr>
          <w:rFonts w:hint="eastAsia" w:ascii="宋体" w:hAnsi="宋体" w:eastAsia="宋体" w:cs="宋体"/>
          <w:color w:val="auto"/>
          <w:sz w:val="24"/>
          <w:szCs w:val="24"/>
          <w:highlight w:val="none"/>
        </w:rPr>
        <w:t>可以对磋商文件进行修改。</w:t>
      </w:r>
    </w:p>
    <w:p w14:paraId="2FB4DB3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采购人或采购代理机构</w:t>
      </w:r>
      <w:r>
        <w:rPr>
          <w:rFonts w:hint="eastAsia" w:ascii="宋体" w:hAnsi="宋体" w:eastAsia="宋体" w:cs="宋体"/>
          <w:color w:val="auto"/>
          <w:sz w:val="24"/>
          <w:szCs w:val="24"/>
          <w:highlight w:val="none"/>
        </w:rPr>
        <w:t>有权按照法定的要求推迟响应文件提交截止日期和磋商日期。</w:t>
      </w:r>
    </w:p>
    <w:p w14:paraId="0CA9101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3.3磋商文件的修改将在江苏政府采购网公布，补充文件将作为磋商文件的组成部分，并对供应商具有约束力。</w:t>
      </w:r>
    </w:p>
    <w:p w14:paraId="057CA829">
      <w:pPr>
        <w:spacing w:line="360" w:lineRule="auto"/>
        <w:ind w:firstLine="482"/>
        <w:outlineLvl w:val="2"/>
        <w:rPr>
          <w:rFonts w:hint="eastAsia" w:ascii="宋体" w:hAnsi="宋体" w:eastAsia="宋体" w:cs="宋体"/>
          <w:b/>
          <w:bCs/>
          <w:color w:val="auto"/>
          <w:sz w:val="24"/>
          <w:szCs w:val="24"/>
          <w:highlight w:val="none"/>
        </w:rPr>
      </w:pPr>
      <w:bookmarkStart w:id="75" w:name="_Toc16938529"/>
      <w:bookmarkStart w:id="76" w:name="_Toc462564072"/>
      <w:bookmarkStart w:id="77" w:name="_Toc20823285"/>
      <w:bookmarkStart w:id="78" w:name="_Toc513029213"/>
      <w:bookmarkStart w:id="79" w:name="_Toc120614216"/>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响应文件的编制</w:t>
      </w:r>
      <w:bookmarkEnd w:id="75"/>
      <w:bookmarkEnd w:id="76"/>
      <w:bookmarkEnd w:id="77"/>
      <w:bookmarkEnd w:id="78"/>
      <w:bookmarkEnd w:id="79"/>
    </w:p>
    <w:p w14:paraId="18C4F6F4">
      <w:pPr>
        <w:spacing w:line="360" w:lineRule="auto"/>
        <w:ind w:firstLine="480"/>
        <w:outlineLvl w:val="3"/>
        <w:rPr>
          <w:rFonts w:hint="eastAsia" w:ascii="宋体" w:hAnsi="宋体" w:eastAsia="宋体" w:cs="宋体"/>
          <w:b/>
          <w:color w:val="auto"/>
          <w:sz w:val="24"/>
          <w:szCs w:val="24"/>
          <w:highlight w:val="none"/>
        </w:rPr>
      </w:pPr>
      <w:bookmarkStart w:id="80" w:name="_Toc513029214"/>
      <w:bookmarkStart w:id="81" w:name="_Toc16938530"/>
      <w:bookmarkStart w:id="82" w:name="_Toc462564073"/>
      <w:bookmarkStart w:id="83" w:name="_Toc20823286"/>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.响应文件的语言及度量衡单位</w:t>
      </w:r>
      <w:bookmarkEnd w:id="80"/>
      <w:bookmarkEnd w:id="81"/>
      <w:bookmarkEnd w:id="82"/>
      <w:bookmarkEnd w:id="83"/>
    </w:p>
    <w:p w14:paraId="3E9C6C4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.1</w:t>
      </w:r>
      <w:r>
        <w:rPr>
          <w:rFonts w:hint="eastAsia" w:ascii="宋体" w:hAnsi="宋体" w:eastAsia="宋体" w:cs="宋体"/>
          <w:color w:val="auto"/>
          <w:sz w:val="24"/>
          <w:szCs w:val="24"/>
          <w:highlight w:val="none"/>
        </w:rPr>
        <w:t>供应商提交的响应文件以及供应商与采购人（或采购代理机构）就有关磋商的所有来往通知、函件和文件均应使用简体中文。</w:t>
      </w:r>
    </w:p>
    <w:p w14:paraId="61CE767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除技术性能另有规定外，响应文件所使用的度量衡单位，均须采用国家法定计量单位。</w:t>
      </w:r>
    </w:p>
    <w:p w14:paraId="1F6510BD">
      <w:pPr>
        <w:spacing w:line="360" w:lineRule="auto"/>
        <w:ind w:firstLine="480"/>
        <w:outlineLvl w:val="3"/>
        <w:rPr>
          <w:rFonts w:hint="eastAsia" w:ascii="宋体" w:hAnsi="宋体" w:eastAsia="宋体" w:cs="宋体"/>
          <w:color w:val="auto"/>
          <w:sz w:val="24"/>
          <w:szCs w:val="24"/>
          <w:highlight w:val="none"/>
        </w:rPr>
      </w:pPr>
      <w:bookmarkStart w:id="84" w:name="_Toc20823287"/>
      <w:bookmarkStart w:id="85" w:name="_Toc513029215"/>
      <w:bookmarkStart w:id="86" w:name="_Toc462564074"/>
      <w:bookmarkStart w:id="87" w:name="_Toc16938531"/>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.响应文件构成</w:t>
      </w:r>
      <w:bookmarkEnd w:id="84"/>
      <w:bookmarkEnd w:id="85"/>
      <w:bookmarkEnd w:id="86"/>
      <w:bookmarkEnd w:id="87"/>
    </w:p>
    <w:p w14:paraId="48202DDA">
      <w:pPr>
        <w:spacing w:line="360" w:lineRule="auto"/>
        <w:ind w:firstLine="480"/>
        <w:outlineLvl w:val="3"/>
        <w:rPr>
          <w:rFonts w:hint="eastAsia" w:ascii="宋体" w:hAnsi="宋体" w:eastAsia="宋体" w:cs="宋体"/>
          <w:color w:val="auto"/>
          <w:sz w:val="24"/>
          <w:szCs w:val="24"/>
          <w:highlight w:val="none"/>
        </w:rPr>
      </w:pPr>
      <w:bookmarkStart w:id="88" w:name="_Toc49090510"/>
      <w:bookmarkStart w:id="89" w:name="_Toc14577359"/>
      <w:r>
        <w:rPr>
          <w:rFonts w:hint="eastAsia" w:ascii="宋体" w:hAnsi="宋体" w:eastAsia="宋体" w:cs="宋体"/>
          <w:color w:val="auto"/>
          <w:sz w:val="24"/>
          <w:szCs w:val="24"/>
          <w:highlight w:val="none"/>
        </w:rPr>
        <w:t>2.1供应商编写的响应文件应包括资格证明文件、符合性证明文件、磋商响应函、磋商报价表、分项报价明细表、商务部分正负偏离表、技术部分正负偏离表、其他证明文件等部分。供应商按“第五部分 响应文件格式”要求编写响应文件。</w:t>
      </w:r>
    </w:p>
    <w:p w14:paraId="07F83583">
      <w:pPr>
        <w:spacing w:line="360" w:lineRule="auto"/>
        <w:ind w:firstLine="480"/>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2.2如标书制作工具中格式和内容与“江苏政府采购网”发布的磋商文件不一致，请以“江苏政府采购网”发布的磋商文件为准。</w:t>
      </w:r>
    </w:p>
    <w:bookmarkEnd w:id="88"/>
    <w:bookmarkEnd w:id="89"/>
    <w:p w14:paraId="1514EC3B">
      <w:pPr>
        <w:spacing w:line="360" w:lineRule="auto"/>
        <w:ind w:firstLine="480"/>
        <w:rPr>
          <w:rFonts w:hint="eastAsia" w:ascii="宋体" w:hAnsi="宋体" w:eastAsia="宋体" w:cs="宋体"/>
          <w:bCs/>
          <w:color w:val="auto"/>
          <w:sz w:val="24"/>
          <w:szCs w:val="24"/>
          <w:highlight w:val="none"/>
        </w:rPr>
      </w:pPr>
      <w:bookmarkStart w:id="90" w:name="_Toc14577360"/>
      <w:bookmarkStart w:id="91" w:name="_Toc49090511"/>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w:t>
      </w:r>
      <w:bookmarkEnd w:id="90"/>
      <w:bookmarkEnd w:id="91"/>
      <w:r>
        <w:rPr>
          <w:rFonts w:hint="eastAsia" w:ascii="宋体" w:hAnsi="宋体" w:eastAsia="宋体" w:cs="宋体"/>
          <w:bCs/>
          <w:color w:val="auto"/>
          <w:sz w:val="24"/>
          <w:szCs w:val="24"/>
          <w:highlight w:val="none"/>
        </w:rPr>
        <w:t>磋商响应有效期</w:t>
      </w:r>
    </w:p>
    <w:p w14:paraId="385184C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.1磋商</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有效期为采购人规定的提交响应文件截止之日后</w:t>
      </w:r>
      <w:r>
        <w:rPr>
          <w:rFonts w:hint="eastAsia" w:ascii="宋体" w:hAnsi="宋体" w:eastAsia="宋体" w:cs="宋体"/>
          <w:b/>
          <w:color w:val="auto"/>
          <w:sz w:val="24"/>
          <w:szCs w:val="24"/>
          <w:highlight w:val="none"/>
          <w:u w:val="single"/>
        </w:rPr>
        <w:t>六十（60）天</w:t>
      </w:r>
      <w:r>
        <w:rPr>
          <w:rFonts w:hint="eastAsia" w:ascii="宋体" w:hAnsi="宋体" w:eastAsia="宋体" w:cs="宋体"/>
          <w:bCs/>
          <w:color w:val="auto"/>
          <w:sz w:val="24"/>
          <w:szCs w:val="24"/>
          <w:highlight w:val="none"/>
        </w:rPr>
        <w:t>。磋商</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有效期比规定短的将被视为非实质性响应磋商文件而予以拒绝。</w:t>
      </w:r>
    </w:p>
    <w:p w14:paraId="29596282">
      <w:pPr>
        <w:spacing w:line="360" w:lineRule="auto"/>
        <w:ind w:firstLine="480"/>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.磋商</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有效期的延长</w:t>
      </w:r>
    </w:p>
    <w:p w14:paraId="0F8AA58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.1在特殊情况下，采购人于原磋商</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有效期满之前，可向</w:t>
      </w:r>
      <w:r>
        <w:rPr>
          <w:rFonts w:hint="eastAsia" w:ascii="宋体" w:hAnsi="宋体" w:eastAsia="宋体" w:cs="宋体"/>
          <w:bCs/>
          <w:color w:val="auto"/>
          <w:sz w:val="24"/>
          <w:szCs w:val="24"/>
          <w:highlight w:val="none"/>
          <w:lang w:val="en-US" w:eastAsia="zh-CN"/>
        </w:rPr>
        <w:t>磋商</w:t>
      </w:r>
      <w:r>
        <w:rPr>
          <w:rFonts w:hint="eastAsia" w:ascii="宋体" w:hAnsi="宋体" w:eastAsia="宋体" w:cs="宋体"/>
          <w:bCs/>
          <w:color w:val="auto"/>
          <w:sz w:val="24"/>
          <w:szCs w:val="24"/>
          <w:highlight w:val="none"/>
        </w:rPr>
        <w:t>供应商提出延长磋商</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有效期的要求。这种要求与答复均应采用书面形式。供应商可以拒绝采购人的这一要求而放弃磋商</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，同意延长磋商</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有效期的供应商既不能要求也不允许修改其响应文件。</w:t>
      </w:r>
      <w:r>
        <w:rPr>
          <w:rFonts w:hint="eastAsia" w:ascii="宋体" w:hAnsi="宋体" w:eastAsia="宋体" w:cs="宋体"/>
          <w:color w:val="auto"/>
          <w:sz w:val="24"/>
          <w:szCs w:val="24"/>
          <w:highlight w:val="none"/>
        </w:rPr>
        <w:t>受磋商</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有效期约束的所有权利与义务均延长至新的有效期</w:t>
      </w:r>
      <w:r>
        <w:rPr>
          <w:rFonts w:hint="eastAsia" w:ascii="宋体" w:hAnsi="宋体" w:eastAsia="宋体" w:cs="宋体"/>
          <w:bCs/>
          <w:color w:val="auto"/>
          <w:sz w:val="24"/>
          <w:szCs w:val="24"/>
          <w:highlight w:val="none"/>
        </w:rPr>
        <w:t>。</w:t>
      </w:r>
    </w:p>
    <w:p w14:paraId="008C421A">
      <w:pPr>
        <w:spacing w:line="360" w:lineRule="auto"/>
        <w:ind w:firstLine="482"/>
        <w:outlineLvl w:val="2"/>
        <w:rPr>
          <w:rFonts w:hint="eastAsia" w:ascii="宋体" w:hAnsi="宋体" w:eastAsia="宋体" w:cs="宋体"/>
          <w:b/>
          <w:bCs/>
          <w:color w:val="auto"/>
          <w:sz w:val="24"/>
          <w:szCs w:val="24"/>
          <w:highlight w:val="none"/>
        </w:rPr>
      </w:pPr>
      <w:bookmarkStart w:id="92" w:name="_Hlt26954739"/>
      <w:bookmarkEnd w:id="92"/>
      <w:bookmarkStart w:id="93" w:name="_Hlt26954852"/>
      <w:bookmarkEnd w:id="93"/>
      <w:bookmarkStart w:id="94" w:name="_Toc16938540"/>
      <w:bookmarkStart w:id="95" w:name="_Toc20823296"/>
      <w:bookmarkStart w:id="96" w:name="_Toc120614217"/>
      <w:bookmarkStart w:id="97" w:name="_Toc513029224"/>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响应文件的递交</w:t>
      </w:r>
      <w:bookmarkEnd w:id="94"/>
      <w:bookmarkEnd w:id="95"/>
      <w:bookmarkEnd w:id="96"/>
      <w:bookmarkEnd w:id="97"/>
    </w:p>
    <w:p w14:paraId="18A33C5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响应文件的提交</w:t>
      </w:r>
    </w:p>
    <w:p w14:paraId="38BB467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bookmarkStart w:id="98" w:name="_Toc16938542"/>
      <w:bookmarkStart w:id="99" w:name="_Toc20823298"/>
      <w:bookmarkStart w:id="100" w:name="_Toc513029226"/>
      <w:r>
        <w:rPr>
          <w:rFonts w:hint="eastAsia" w:ascii="宋体" w:hAnsi="宋体" w:eastAsia="宋体" w:cs="宋体"/>
          <w:color w:val="auto"/>
          <w:sz w:val="24"/>
          <w:szCs w:val="24"/>
          <w:highlight w:val="none"/>
        </w:rPr>
        <w:t>供应商应当按照江苏政府采购网—资料下载中《江苏省政府采购管理交易系统（苏采云）供应商操作指南》规定，在响应文件提交截止时间前制作并上传电子响应文件。</w:t>
      </w:r>
    </w:p>
    <w:p w14:paraId="749F6BF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2.响应文件截止日期</w:t>
      </w:r>
      <w:bookmarkEnd w:id="98"/>
      <w:bookmarkEnd w:id="99"/>
      <w:bookmarkEnd w:id="100"/>
    </w:p>
    <w:p w14:paraId="32F9A5F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2.1供应商上传电子响应文件的时间不得迟于磋商公告中规定的响应文件提交截止时间。</w:t>
      </w:r>
    </w:p>
    <w:p w14:paraId="5594DD8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供应商应充分考虑到网络环境、网络带宽、CA数字证书及电子签章故障等风险因素，如因供应商自身原因造成的电子响应文件上传不成功由供应商自行承担全部责任。</w:t>
      </w:r>
    </w:p>
    <w:p w14:paraId="3A9EF05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lang w:val="en-US" w:eastAsia="zh-CN"/>
        </w:rPr>
        <w:t>采购人或采购代理机构</w:t>
      </w:r>
      <w:r>
        <w:rPr>
          <w:rFonts w:hint="eastAsia" w:ascii="宋体" w:hAnsi="宋体" w:eastAsia="宋体" w:cs="宋体"/>
          <w:color w:val="auto"/>
          <w:sz w:val="24"/>
          <w:szCs w:val="24"/>
          <w:highlight w:val="none"/>
        </w:rPr>
        <w:t>可以按照规定，通过修改响应文件酌情延长响应文件提交截止日期，在此情况下，供应商的所有权利和义务以及供应商受制的截止日期均应以延长后新的截止日期为准。</w:t>
      </w:r>
    </w:p>
    <w:p w14:paraId="5B9D7AFF">
      <w:pPr>
        <w:spacing w:line="360" w:lineRule="auto"/>
        <w:ind w:firstLine="480"/>
        <w:rPr>
          <w:rFonts w:hint="eastAsia" w:ascii="宋体" w:hAnsi="宋体" w:eastAsia="宋体" w:cs="宋体"/>
          <w:color w:val="auto"/>
          <w:sz w:val="24"/>
          <w:szCs w:val="24"/>
          <w:highlight w:val="none"/>
        </w:rPr>
      </w:pPr>
      <w:bookmarkStart w:id="101" w:name="_Toc20823299"/>
      <w:bookmarkStart w:id="102" w:name="_Toc513029227"/>
      <w:bookmarkStart w:id="103" w:name="_Toc16938543"/>
      <w:r>
        <w:rPr>
          <w:rFonts w:hint="eastAsia" w:ascii="宋体" w:hAnsi="宋体" w:eastAsia="宋体" w:cs="宋体"/>
          <w:color w:val="auto"/>
          <w:sz w:val="24"/>
          <w:szCs w:val="24"/>
          <w:highlight w:val="none"/>
        </w:rPr>
        <w:t>3.响应文件</w:t>
      </w:r>
      <w:bookmarkEnd w:id="101"/>
      <w:bookmarkEnd w:id="102"/>
      <w:bookmarkEnd w:id="103"/>
      <w:r>
        <w:rPr>
          <w:rFonts w:hint="eastAsia" w:ascii="宋体" w:hAnsi="宋体" w:eastAsia="宋体" w:cs="宋体"/>
          <w:color w:val="auto"/>
          <w:sz w:val="24"/>
          <w:szCs w:val="24"/>
          <w:highlight w:val="none"/>
        </w:rPr>
        <w:t>的拒收</w:t>
      </w:r>
    </w:p>
    <w:p w14:paraId="0A3811F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拒绝接收在其规定的响应文件提交截止时间后上传的任何响应文件。</w:t>
      </w:r>
    </w:p>
    <w:p w14:paraId="6B3DBADE">
      <w:pPr>
        <w:spacing w:line="360" w:lineRule="auto"/>
        <w:ind w:firstLine="480"/>
        <w:rPr>
          <w:rFonts w:hint="eastAsia" w:ascii="宋体" w:hAnsi="宋体" w:eastAsia="宋体" w:cs="宋体"/>
          <w:color w:val="auto"/>
          <w:sz w:val="24"/>
          <w:szCs w:val="24"/>
          <w:highlight w:val="none"/>
        </w:rPr>
      </w:pPr>
      <w:bookmarkStart w:id="104" w:name="_Toc513029228"/>
      <w:bookmarkStart w:id="105" w:name="_Toc16938544"/>
      <w:bookmarkStart w:id="106" w:name="_Toc20823300"/>
      <w:r>
        <w:rPr>
          <w:rFonts w:hint="eastAsia" w:ascii="宋体" w:hAnsi="宋体" w:eastAsia="宋体" w:cs="宋体"/>
          <w:color w:val="auto"/>
          <w:sz w:val="24"/>
          <w:szCs w:val="24"/>
          <w:highlight w:val="none"/>
        </w:rPr>
        <w:t>4.响应文件的撤回和修改</w:t>
      </w:r>
      <w:bookmarkEnd w:id="104"/>
      <w:bookmarkEnd w:id="105"/>
      <w:bookmarkEnd w:id="106"/>
    </w:p>
    <w:p w14:paraId="7FD9EF9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4.1响应文件的撤回</w:t>
      </w:r>
    </w:p>
    <w:p w14:paraId="5D1C216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4.1.1电子响应文件的撤回</w:t>
      </w:r>
    </w:p>
    <w:p w14:paraId="27B70A3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供应商可在响应文件提交截止时间前，撤回其电子响应文件，具体操作方法见《江苏省政府采购管理交易系统（苏采云）供应商操作指南》。</w:t>
      </w:r>
    </w:p>
    <w:p w14:paraId="4CAA5CB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4.1.2供应商撤回电子响应文件，则认为其不再参与本项目磋商活动。</w:t>
      </w:r>
    </w:p>
    <w:p w14:paraId="0E14DAD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4.2响应文件的修改</w:t>
      </w:r>
    </w:p>
    <w:p w14:paraId="3AB4F48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供应商可在响应文件提交截止时间前，对其电子响应文件进行修改，具体操作方法见《江苏省政府采购管理交易系统（苏采云）供应商操作指南》。</w:t>
      </w:r>
    </w:p>
    <w:p w14:paraId="6230305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4.3在响应文件提交截止时间之后，供应商不得对其电子响应文件作任何修改。</w:t>
      </w:r>
    </w:p>
    <w:p w14:paraId="189FCD0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4.4在响应文件截止时间至响应文件中规定的磋商响应有效期满之间的这段时间内，供应商不得撤回其响应文件。</w:t>
      </w:r>
    </w:p>
    <w:p w14:paraId="0AB8386E">
      <w:pPr>
        <w:spacing w:line="360" w:lineRule="auto"/>
        <w:ind w:firstLine="482"/>
        <w:outlineLvl w:val="2"/>
        <w:rPr>
          <w:rFonts w:hint="eastAsia" w:ascii="宋体" w:hAnsi="宋体" w:eastAsia="宋体" w:cs="宋体"/>
          <w:b/>
          <w:bCs/>
          <w:color w:val="auto"/>
          <w:sz w:val="24"/>
          <w:szCs w:val="24"/>
          <w:highlight w:val="none"/>
        </w:rPr>
      </w:pPr>
      <w:bookmarkStart w:id="107" w:name="_Toc513029229"/>
      <w:bookmarkStart w:id="108" w:name="_Toc20823301"/>
      <w:bookmarkStart w:id="109" w:name="_Toc16938545"/>
      <w:bookmarkStart w:id="110" w:name="_Toc120614218"/>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磋商</w:t>
      </w:r>
      <w:r>
        <w:rPr>
          <w:rFonts w:hint="eastAsia" w:ascii="宋体" w:hAnsi="宋体" w:eastAsia="宋体" w:cs="宋体"/>
          <w:b/>
          <w:bCs/>
          <w:color w:val="auto"/>
          <w:sz w:val="24"/>
          <w:szCs w:val="24"/>
          <w:highlight w:val="none"/>
        </w:rPr>
        <w:t>与评审</w:t>
      </w:r>
      <w:bookmarkEnd w:id="107"/>
      <w:bookmarkEnd w:id="108"/>
      <w:bookmarkEnd w:id="109"/>
      <w:bookmarkEnd w:id="110"/>
    </w:p>
    <w:p w14:paraId="5327C882">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1.磋商仪式</w:t>
      </w:r>
    </w:p>
    <w:p w14:paraId="5962A33A">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采购人或采购代理机构</w:t>
      </w:r>
      <w:r>
        <w:rPr>
          <w:rFonts w:hint="eastAsia" w:ascii="宋体" w:hAnsi="宋体" w:eastAsia="宋体" w:cs="宋体"/>
          <w:color w:val="auto"/>
          <w:sz w:val="24"/>
          <w:szCs w:val="24"/>
          <w:highlight w:val="none"/>
        </w:rPr>
        <w:t>将在磋商公告中规定的时间和地点组织磋商开始仪式。</w:t>
      </w:r>
    </w:p>
    <w:p w14:paraId="13F764AD">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1.2磋商活动的文件解密工作由</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组织，在“苏采云”系统中进行磋商。</w:t>
      </w:r>
    </w:p>
    <w:p w14:paraId="4DD6CB31">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1.3供应商在磋商过程中涉及到的磋商文件解密等工作，按照《江苏省政府采购管理交易系统（苏采云）供应商操作指南》执行。</w:t>
      </w:r>
    </w:p>
    <w:p w14:paraId="4ECDA3D0">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2.磋商小组</w:t>
      </w:r>
    </w:p>
    <w:p w14:paraId="18D351EE">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2.1磋商开始仪式结束后，</w:t>
      </w:r>
      <w:r>
        <w:rPr>
          <w:rFonts w:hint="eastAsia" w:ascii="宋体" w:hAnsi="宋体" w:eastAsia="宋体" w:cs="宋体"/>
          <w:color w:val="auto"/>
          <w:sz w:val="24"/>
          <w:szCs w:val="24"/>
          <w:highlight w:val="none"/>
          <w:lang w:val="en-US" w:eastAsia="zh-CN"/>
        </w:rPr>
        <w:t>采购人或采购代理机构</w:t>
      </w:r>
      <w:r>
        <w:rPr>
          <w:rFonts w:hint="eastAsia" w:ascii="宋体" w:hAnsi="宋体" w:eastAsia="宋体" w:cs="宋体"/>
          <w:color w:val="auto"/>
          <w:sz w:val="24"/>
          <w:szCs w:val="24"/>
          <w:highlight w:val="none"/>
        </w:rPr>
        <w:t>将组织磋商小组进行评审。</w:t>
      </w:r>
    </w:p>
    <w:p w14:paraId="500BB51A">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2.2磋商小组由采购人代表和评审专家共3人以上单数组成，其中评审专家人数不得少于磋商小组成员总数的2/3。采购人不得以评审专家身份参加本部门或本单位采购项目的评审。</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人员不得参加本机构代理的采购项目的评审。</w:t>
      </w:r>
    </w:p>
    <w:p w14:paraId="0040C1A8">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2.3超过公开招标限额标准的项目，磋商小组应当由5人以上单数组成。</w:t>
      </w:r>
    </w:p>
    <w:p w14:paraId="1BD4C957">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3A10DBBC">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2.5磋商小组独立工作，负责评审所有响应文件并确定成交候选人。</w:t>
      </w:r>
    </w:p>
    <w:p w14:paraId="10D06F18">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3.磋商评审过程的保密与公正</w:t>
      </w:r>
    </w:p>
    <w:p w14:paraId="37C7200C">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3.1磋商小组、采购人和</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工作人员、相关监督人员等与评审工作有关的人员，对评审情况以及在评审过程中获悉的国家秘密、商业秘密负有保密责任。</w:t>
      </w:r>
    </w:p>
    <w:p w14:paraId="6BC49A57">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3.2在磋商评审过程中，磋商供应商不得以任何行为影响磋商评审过程，否则其响应文件将被作为无效响应文件。</w:t>
      </w:r>
    </w:p>
    <w:p w14:paraId="03529DC7">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2810F3A1">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3.4评审开始后，直至向成交供应商授予合同时止，凡是与审查、澄清、评价和比较响应的有关资料以及授标建议等，采购人、磋商小组、</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均不得向供应商或与评标无关的其他人员透露。</w:t>
      </w:r>
    </w:p>
    <w:p w14:paraId="652C24F8">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3.5在评审期间，</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将设专门人员与供应商联系。</w:t>
      </w:r>
    </w:p>
    <w:p w14:paraId="60324245">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和评审小组不向未成交的供应商解释未成交原因，也不公布评审过程中的相关细节。</w:t>
      </w:r>
    </w:p>
    <w:p w14:paraId="51CBCC2E">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4.评审过程的澄清</w:t>
      </w:r>
    </w:p>
    <w:p w14:paraId="47EDC878">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4.1评审期间，为有助于对响应文件的审查、评价和比较，磋商小组有权以电子函件形式要求响应人对其响应文件进行澄清，但并非对每个供应商都作澄清要求。</w:t>
      </w:r>
    </w:p>
    <w:p w14:paraId="346DE7DA">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接到磋商小组澄清要求的供应商应派人按磋商小组规定的时间和格式在“苏采云”系统中做出澄清，澄清的内容作为响应文件的补充部分，但实质性的内容不得做任何更改。具体操作方式见《江苏省政府采购管理交易系统（苏采云）供应商操作指南》。</w:t>
      </w:r>
    </w:p>
    <w:p w14:paraId="48F9DEB5">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4.3接到磋商小组澄清要求的供应商如未按规定做出澄清，其风险由供应商自行承担。</w:t>
      </w:r>
    </w:p>
    <w:p w14:paraId="32ADBEE3">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5.对响应文件的初审</w:t>
      </w:r>
    </w:p>
    <w:p w14:paraId="7C56C3D7">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5.1响应文件初审分为资格性审查和符合性审查。</w:t>
      </w:r>
    </w:p>
    <w:p w14:paraId="554D3426">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5.1.1资格性检查：依据法律法规和磋商文件的规定，由磋商小组对响应文件中的资格审查证明材料进行审查，以确定供应商是否具备参加磋商的资格。</w:t>
      </w:r>
    </w:p>
    <w:p w14:paraId="687331F0">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磋商小组在进行资格性审查的同时，将在“信用中国”网站查询供应商的信用记录，以确定供应商是否具备参加磋商的资格，查询结果留存并归档。</w:t>
      </w:r>
    </w:p>
    <w:p w14:paraId="5142FBA3">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联合体成员中任何一方存在不良信用记录的，视同联合体存在不良应用记录。</w:t>
      </w:r>
    </w:p>
    <w:p w14:paraId="5E592DAB">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5.1.2符合性审查：依据磋商文件的规定，由磋商小组从响应文件的有效性、完整性和对磋商文件的响应程度进行审查，以确定是否对磋商文件的实质性要求作出响应。</w:t>
      </w:r>
    </w:p>
    <w:p w14:paraId="1AA2E57E">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5.1.3未通过资格审查或符合性审查的供应商，</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将告知未通过资格审查或符合性审查的原因，评审结束后，</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将不再告知未通过资格审查或符合性审查的原因。</w:t>
      </w:r>
    </w:p>
    <w:p w14:paraId="57E53D7F">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5.2在正式磋商之前，磋商小组将首先审查每份响应文件是否实质性响应了磋商文件的要求。实质性响应的响应文件应该是与磋商文件要求的全部条款、条件和规格相符，没有重大负偏离或保留。</w:t>
      </w:r>
    </w:p>
    <w:p w14:paraId="5275881C">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9433764">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5.3如果响应文件实质上没有响应磋商文件的要求，磋商小组将予以拒绝，供应商不得通过修改或撤销不合要求的偏离或保留而使其响应文件成为实质性响应的文件。</w:t>
      </w:r>
    </w:p>
    <w:p w14:paraId="37549780">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5.4磋商小组将对确定为实质性响应的文件进行进一步审核，看其是否有计算上或累加上的算术错误，修正错误的原则如下：</w:t>
      </w:r>
    </w:p>
    <w:p w14:paraId="362A4AE6">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（1）响应文件中磋商报价表内容与响应文件中相应内容不一致的，以磋商报价表为准。</w:t>
      </w:r>
    </w:p>
    <w:p w14:paraId="79D21D16">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7E7FEB02">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（3）单价金额小数点或者百分比有明显错位的，以磋商报价表的总价为准，并修改单价。</w:t>
      </w:r>
    </w:p>
    <w:p w14:paraId="7E244CA9">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1A649817">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03429228">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5.5磋商小组将按上述修正错误的方法调整响应文件中的报价，并通过“苏采云”系统告知供应商，调整后的价格应对供应商具有约束力。如果供应商不接受修正后的价格，则其磋商活动将被拒绝。</w:t>
      </w:r>
    </w:p>
    <w:p w14:paraId="08322B8C">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5.6磋商小组将允许修正响应文件中不构成重大偏离的、微小的、非正规的、不一致的或不规则的地方，但这些修改不能影响任何供应商相应的名次排列。</w:t>
      </w:r>
    </w:p>
    <w:p w14:paraId="0ECABF5D">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5.7提供相同品牌相同型号产品且通过资格审查、符合性审查的不同供应商参加同一合同项下磋商的，按一家供应商计算，评审后得分最高的同品牌同型号供应商获得成交</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推荐资格；评审得分相同的，由磋商小组采取随机抽取的方式确定一个成交候选供应商，其他同品牌供应商不作为成交候选供应商。</w:t>
      </w:r>
    </w:p>
    <w:p w14:paraId="4CD033C9">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非单一产品采购项目，磋商文件中将载明其中的核心产品。多家供应商提供的核心产品品牌相同的，按前款规定处理。</w:t>
      </w:r>
    </w:p>
    <w:p w14:paraId="38799673">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5.8供应商在评审全过程中应保持通讯畅通，并安排专人与</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及磋商小组联系。</w:t>
      </w:r>
    </w:p>
    <w:p w14:paraId="19C03C0C">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6.被认定为未实质性响应磋商文件的响应文件的情形。</w:t>
      </w:r>
    </w:p>
    <w:p w14:paraId="7EC3BC63">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6.1出现下列情形之一的，作无效响应处理。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p>
    <w:p w14:paraId="0BDD9D33">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6.1.1供应商在“苏采云”系统规定的时间内未成功解密电子响应文件的。</w:t>
      </w:r>
    </w:p>
    <w:p w14:paraId="68358553">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6.1.2未完整上传响应文件电子文档的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或上传的文件打不开的。</w:t>
      </w:r>
    </w:p>
    <w:p w14:paraId="71DB5A1A">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6.1.3同一供应商提交两个（含两个）以上不同的响应报价的。</w:t>
      </w:r>
    </w:p>
    <w:p w14:paraId="6146F460">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6.1.4不具备磋商文件中规定的资格要求的。</w:t>
      </w:r>
    </w:p>
    <w:p w14:paraId="2840EE85">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6.1.5响应报价超过了采购预算或最高限价的。</w:t>
      </w:r>
    </w:p>
    <w:p w14:paraId="348765CC">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6.1.6未通过符合性检查的。</w:t>
      </w:r>
    </w:p>
    <w:p w14:paraId="137AD1C1">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6.1.7不符合</w:t>
      </w:r>
      <w:r>
        <w:rPr>
          <w:rFonts w:hint="eastAsia" w:ascii="宋体" w:hAnsi="宋体" w:cs="宋体"/>
          <w:color w:val="auto"/>
          <w:sz w:val="24"/>
          <w:szCs w:val="24"/>
          <w:highlight w:val="none"/>
          <w:lang w:eastAsia="zh-CN"/>
        </w:rPr>
        <w:t>法律法规</w:t>
      </w:r>
      <w:r>
        <w:rPr>
          <w:rFonts w:hint="eastAsia" w:ascii="宋体" w:hAnsi="宋体" w:eastAsia="宋体" w:cs="宋体"/>
          <w:color w:val="auto"/>
          <w:sz w:val="24"/>
          <w:szCs w:val="24"/>
          <w:highlight w:val="none"/>
        </w:rPr>
        <w:t>和磋商文件中规定的其他实质性要求的。</w:t>
      </w:r>
    </w:p>
    <w:p w14:paraId="4E835164">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085ADD35">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6.1.9响应文件含有采购人不能接受的附加条件的。</w:t>
      </w:r>
    </w:p>
    <w:p w14:paraId="3330E09A">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6.1.10异常低价投标（响应）审查的情形和具体要求：</w:t>
      </w:r>
    </w:p>
    <w:p w14:paraId="1D6EAB86">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（一）评审过程中出现下列情形之一的，磋商小组应当启动异常低价投标（响应）审查程序：</w:t>
      </w:r>
    </w:p>
    <w:p w14:paraId="04E8F825">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投标（响应）报价低于采购项目预算50%的，即投标（响应）报价&lt;采购项目预算×50%；</w:t>
      </w:r>
    </w:p>
    <w:p w14:paraId="01D78016">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投标（响应）报价低于采购项目最高限价45% 的，即投标（响应）报价&lt;采购项目最高限价×45%；</w:t>
      </w:r>
    </w:p>
    <w:p w14:paraId="42D50CA8">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磋商小组认定的供应商报价过低、有可能影响产品质量或者不能诚信履约的其他情形。</w:t>
      </w:r>
    </w:p>
    <w:p w14:paraId="6C852AA7">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启动异常低价投标（响应）审查后，磋商小组应当要求相关供应商在合理的时间内通过“苏采云”系统，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p>
    <w:p w14:paraId="29378F0C">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p>
    <w:p w14:paraId="2E48BB95">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6.1.12响应文件未按照采购文件要求加盖电子签章。</w:t>
      </w:r>
    </w:p>
    <w:p w14:paraId="5E6AB16B">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6.1.13不同供应商的响应文件经系统查询Mac地址、标书制作工具客户端标识码一致的。（符合本条款不同的供应商不得参加本项目的后续采购事项，并移送政府采购监管部门进行处理。）</w:t>
      </w:r>
    </w:p>
    <w:p w14:paraId="0B21D646">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6.1.14响应人的商务技术部分得分相差异常悬殊，磋商小组一致认为得分畸低者有可能影响产品质量或者不能诚信履约的。</w:t>
      </w:r>
    </w:p>
    <w:p w14:paraId="5D64C271">
      <w:pPr>
        <w:spacing w:line="360" w:lineRule="auto"/>
        <w:ind w:firstLine="482"/>
        <w:outlineLvl w:val="2"/>
        <w:rPr>
          <w:rFonts w:hint="eastAsia" w:ascii="宋体" w:hAnsi="宋体" w:eastAsia="宋体" w:cs="宋体"/>
          <w:color w:val="auto"/>
          <w:sz w:val="24"/>
          <w:szCs w:val="24"/>
          <w:highlight w:val="none"/>
          <w:lang w:val="en-US" w:eastAsia="zh-CN"/>
        </w:rPr>
      </w:pPr>
      <w:bookmarkStart w:id="111" w:name="_Toc120614219"/>
      <w:bookmarkStart w:id="112" w:name="_Toc513029235"/>
      <w:bookmarkStart w:id="113" w:name="_Toc16938551"/>
      <w:bookmarkStart w:id="114" w:name="_Toc20823307"/>
      <w:r>
        <w:rPr>
          <w:rFonts w:hint="eastAsia" w:ascii="宋体" w:hAnsi="宋体" w:eastAsia="宋体" w:cs="宋体"/>
          <w:color w:val="auto"/>
          <w:sz w:val="24"/>
          <w:szCs w:val="24"/>
          <w:highlight w:val="none"/>
        </w:rPr>
        <w:t>6.1.15商务技术分不满</w:t>
      </w:r>
      <w:r>
        <w:rPr>
          <w:rFonts w:hint="eastAsia" w:ascii="宋体" w:hAnsi="宋体" w:cs="宋体"/>
          <w:color w:val="auto"/>
          <w:sz w:val="24"/>
          <w:szCs w:val="24"/>
          <w:highlight w:val="none"/>
          <w:lang w:val="en-US" w:eastAsia="zh-CN"/>
        </w:rPr>
        <w:t>45</w:t>
      </w:r>
      <w:r>
        <w:rPr>
          <w:rFonts w:hint="eastAsia" w:ascii="宋体" w:hAnsi="宋体" w:eastAsia="宋体" w:cs="宋体"/>
          <w:color w:val="auto"/>
          <w:sz w:val="24"/>
          <w:szCs w:val="24"/>
          <w:highlight w:val="none"/>
          <w:lang w:val="en-US" w:eastAsia="zh-CN"/>
        </w:rPr>
        <w:t>分。</w:t>
      </w:r>
    </w:p>
    <w:p w14:paraId="2BD8C776">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6.1.16其他</w:t>
      </w:r>
      <w:r>
        <w:rPr>
          <w:rFonts w:hint="eastAsia" w:ascii="宋体" w:hAnsi="宋体" w:cs="宋体"/>
          <w:color w:val="auto"/>
          <w:sz w:val="24"/>
          <w:szCs w:val="24"/>
          <w:highlight w:val="none"/>
          <w:lang w:eastAsia="zh-CN"/>
        </w:rPr>
        <w:t>法律法规</w:t>
      </w:r>
      <w:r>
        <w:rPr>
          <w:rFonts w:hint="eastAsia" w:ascii="宋体" w:hAnsi="宋体" w:eastAsia="宋体" w:cs="宋体"/>
          <w:color w:val="auto"/>
          <w:sz w:val="24"/>
          <w:szCs w:val="24"/>
          <w:highlight w:val="none"/>
        </w:rPr>
        <w:t>及本磋商文件规定的属无效响应的情形。</w:t>
      </w:r>
    </w:p>
    <w:p w14:paraId="6FAD8CE1">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6.2出现下列情形之一的，磋商失败。</w:t>
      </w:r>
    </w:p>
    <w:p w14:paraId="0F622863">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6.2.1符合条件的供应商或者对磋商文件作实质响应的供应商不足3家的（市场竞争不充分的科研项目，以及需要扶持的科技成果转化项目可以是2家）；</w:t>
      </w:r>
    </w:p>
    <w:p w14:paraId="02E6095A">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6.2.2出现影响采购公正的违法违规行为的；</w:t>
      </w:r>
    </w:p>
    <w:p w14:paraId="4D9EF680">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6.2.3因重大变故，采购任务取消的。</w:t>
      </w:r>
    </w:p>
    <w:p w14:paraId="058DE330">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6.2.4磋商小组认定磋商文件存在歧义、重大缺陷导致评审工作无法进行。</w:t>
      </w:r>
    </w:p>
    <w:p w14:paraId="65C3361C">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6.2.5因“苏采云”</w:t>
      </w:r>
      <w:r>
        <w:rPr>
          <w:rFonts w:hint="eastAsia" w:ascii="宋体" w:hAnsi="宋体" w:cs="宋体"/>
          <w:color w:val="auto"/>
          <w:sz w:val="24"/>
          <w:szCs w:val="24"/>
          <w:highlight w:val="none"/>
          <w:lang w:eastAsia="zh-CN"/>
        </w:rPr>
        <w:t>系统故障</w:t>
      </w:r>
      <w:r>
        <w:rPr>
          <w:rFonts w:hint="eastAsia" w:ascii="宋体" w:hAnsi="宋体" w:eastAsia="宋体" w:cs="宋体"/>
          <w:color w:val="auto"/>
          <w:sz w:val="24"/>
          <w:szCs w:val="24"/>
          <w:highlight w:val="none"/>
        </w:rPr>
        <w:t>原因造成磋商不成功的。</w:t>
      </w:r>
    </w:p>
    <w:p w14:paraId="2CE4861A">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6.3响应文件提交截止时间结束后参加磋商的供应商不足三家的处理：</w:t>
      </w:r>
    </w:p>
    <w:p w14:paraId="46482527">
      <w:pPr>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6.3.1如出现响应文件提交截止时间结束后参加磋商的供应商或者在评审期间对磋商文件做出实质响应的供应商不足三家情况，按政府采购相关规定执行。</w:t>
      </w:r>
    </w:p>
    <w:bookmarkEnd w:id="111"/>
    <w:bookmarkEnd w:id="112"/>
    <w:bookmarkEnd w:id="113"/>
    <w:bookmarkEnd w:id="114"/>
    <w:p w14:paraId="1DD1BE04">
      <w:pPr>
        <w:spacing w:line="360" w:lineRule="auto"/>
        <w:ind w:firstLine="482"/>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成交</w:t>
      </w:r>
    </w:p>
    <w:p w14:paraId="7FDCA08E">
      <w:pPr>
        <w:spacing w:line="360" w:lineRule="auto"/>
        <w:ind w:firstLine="480"/>
        <w:rPr>
          <w:rFonts w:hint="eastAsia" w:ascii="宋体" w:hAnsi="宋体" w:eastAsia="宋体" w:cs="宋体"/>
          <w:color w:val="auto"/>
          <w:sz w:val="24"/>
          <w:szCs w:val="24"/>
          <w:highlight w:val="none"/>
        </w:rPr>
      </w:pPr>
      <w:bookmarkStart w:id="115" w:name="_Toc16938554"/>
      <w:bookmarkStart w:id="116" w:name="_Toc20823310"/>
      <w:r>
        <w:rPr>
          <w:rFonts w:hint="eastAsia" w:ascii="宋体" w:hAnsi="宋体" w:eastAsia="宋体" w:cs="宋体"/>
          <w:color w:val="auto"/>
          <w:sz w:val="24"/>
          <w:szCs w:val="24"/>
          <w:highlight w:val="none"/>
        </w:rPr>
        <w:t>1.确定</w:t>
      </w:r>
      <w:bookmarkEnd w:id="115"/>
      <w:bookmarkEnd w:id="116"/>
      <w:r>
        <w:rPr>
          <w:rFonts w:hint="eastAsia" w:ascii="宋体" w:hAnsi="宋体" w:eastAsia="宋体" w:cs="宋体"/>
          <w:color w:val="auto"/>
          <w:sz w:val="24"/>
          <w:szCs w:val="24"/>
          <w:highlight w:val="none"/>
        </w:rPr>
        <w:t>成交单位</w:t>
      </w:r>
    </w:p>
    <w:p w14:paraId="0437F22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1.1成交候选供应商的选取原则和数量见磋商文件第四部分规定。</w:t>
      </w:r>
    </w:p>
    <w:p w14:paraId="5AF8B2B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1.2采购人从评审报告提出的成交候选供应商中，按照排序由高到低的原则确定成交供应商。</w:t>
      </w:r>
    </w:p>
    <w:p w14:paraId="7E44058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1.3采购人确定成交供应商后，</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将在江苏政府采购网发布成交结果公告，公告期限为1个工作日。</w:t>
      </w:r>
    </w:p>
    <w:p w14:paraId="2AD9718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1.4若有充分证据证明，成交供应商出现下列情况之一的，一经查实，将被取消成交资格：</w:t>
      </w:r>
    </w:p>
    <w:p w14:paraId="591FA5A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1.4.1提供虚假材料谋取成交的。</w:t>
      </w:r>
    </w:p>
    <w:p w14:paraId="277888E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1.4.2向采购人、</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行贿或者评审专家提供其他不正当利益的。</w:t>
      </w:r>
    </w:p>
    <w:p w14:paraId="5A22B6C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1.4.3恶意竞争，最终总报价明显低于其自身合理成本且又无法提供证明的。</w:t>
      </w:r>
    </w:p>
    <w:p w14:paraId="7546305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1.4.4属于本文件规定的无效条件，但在评审过程中又未被磋商小组发现的。</w:t>
      </w:r>
    </w:p>
    <w:p w14:paraId="7B97B27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1.4.5与采购人或者其他供应商恶意串通的。</w:t>
      </w:r>
    </w:p>
    <w:p w14:paraId="2A3C3D0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1.4.6采取不正当手段诋毁、排挤其他供应商的。</w:t>
      </w:r>
    </w:p>
    <w:p w14:paraId="5C120A25">
      <w:pPr>
        <w:spacing w:line="360" w:lineRule="auto"/>
        <w:ind w:firstLine="480"/>
        <w:rPr>
          <w:rFonts w:hint="eastAsia" w:ascii="宋体" w:hAnsi="宋体" w:eastAsia="宋体" w:cs="宋体"/>
          <w:color w:val="auto"/>
          <w:sz w:val="24"/>
          <w:szCs w:val="24"/>
          <w:highlight w:val="none"/>
        </w:rPr>
      </w:pPr>
      <w:bookmarkStart w:id="117" w:name="_Toc200451960"/>
      <w:r>
        <w:rPr>
          <w:rFonts w:hint="eastAsia" w:ascii="宋体" w:hAnsi="宋体" w:eastAsia="宋体" w:cs="宋体"/>
          <w:color w:val="auto"/>
          <w:sz w:val="24"/>
          <w:szCs w:val="24"/>
          <w:highlight w:val="none"/>
        </w:rPr>
        <w:t>1.5.有下列情形之一的，视为供应商串通参与磋商，响应无效：</w:t>
      </w:r>
    </w:p>
    <w:p w14:paraId="4C4EB30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1.5.1不同供应商的响应文件由同一单位或者个人编制；</w:t>
      </w:r>
    </w:p>
    <w:p w14:paraId="2C5B69E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1.5.2不同供应商委托同一单位或者个人办理磋商事宜；</w:t>
      </w:r>
    </w:p>
    <w:p w14:paraId="0C0700D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1.5.3不同供应商的响应文件载明的项目管理成员或者联系人员为同一人；</w:t>
      </w:r>
    </w:p>
    <w:p w14:paraId="3E14F4F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1.5.4不同供应商的响应文件异常一致或者响应报价呈规律性差异。</w:t>
      </w:r>
    </w:p>
    <w:p w14:paraId="6715E01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2.质疑处理</w:t>
      </w:r>
      <w:bookmarkEnd w:id="117"/>
    </w:p>
    <w:p w14:paraId="2C3CF64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2.1提出质疑的供应商应当是参与所质疑项目采购活动的供应商。潜在供应商依法获取其可质疑的磋商文件的，可以对磋商文件提出质疑。</w:t>
      </w:r>
    </w:p>
    <w:p w14:paraId="44BEDB5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2.2供应商认为磋商文件、采购过程和采购结果使自己的权益受到损害的，可以在知道或应知其权益受到损害之日起7个工作日内，以书面形式向</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或采购人提出质疑。上述应知其权益受到损害之日，是指：</w:t>
      </w:r>
    </w:p>
    <w:p w14:paraId="4D88776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2.2.1对可以质疑的磋商文件提出质疑的，为收到磋商文件之日或者磋商文件公告期限届满之日；</w:t>
      </w:r>
    </w:p>
    <w:p w14:paraId="2208592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2.2.2对采购过程提出质疑的，为各采购程序环节结束之日；</w:t>
      </w:r>
    </w:p>
    <w:p w14:paraId="21BEFB3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2.2.3对成交结果提出质疑的，为成交结果公告期限届满之日。</w:t>
      </w:r>
    </w:p>
    <w:p w14:paraId="241AAE2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w:t>
      </w:r>
    </w:p>
    <w:p w14:paraId="3277032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2.3质疑函必须按照本磋商文件中《质疑函范本》要求的格式和内容进行填写。供应商如组成联合体参加磋商，则《质疑函范本》中要求签字、盖章、加盖公章之处，联合体各方均须按要求签字、盖章、加盖公章。</w:t>
      </w:r>
    </w:p>
    <w:p w14:paraId="58C1AEF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2.4对采购方式、磋商文件中项目需求、供应商资格条件、评审方法和评审标准、资格审查结果等应当由采购人答复的质疑，请向采购人提出，由采购人负责答复。供应商对其他事项的质疑，请向</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负责答复。</w:t>
      </w:r>
    </w:p>
    <w:p w14:paraId="612F8EA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供应商于法定期限内提起质疑，向采购人或</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以书面形式提交质疑函。</w:t>
      </w:r>
    </w:p>
    <w:p w14:paraId="35FB2B3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val="en-US" w:eastAsia="zh-CN"/>
        </w:rPr>
        <w:t>或采购代理机构</w:t>
      </w:r>
      <w:r>
        <w:rPr>
          <w:rFonts w:hint="eastAsia" w:ascii="宋体" w:hAnsi="宋体" w:eastAsia="宋体" w:cs="宋体"/>
          <w:color w:val="auto"/>
          <w:sz w:val="24"/>
          <w:szCs w:val="24"/>
          <w:highlight w:val="none"/>
        </w:rPr>
        <w:t>质疑接收人及联系方式，见磋商文件第一部分。</w:t>
      </w:r>
    </w:p>
    <w:p w14:paraId="097A800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2.5以下情形的质疑不予受理</w:t>
      </w:r>
    </w:p>
    <w:p w14:paraId="40CB32B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2.5.1内容不符合《政府采购质疑和投诉办法》第十二条规定的质疑。</w:t>
      </w:r>
    </w:p>
    <w:p w14:paraId="04865A0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2.5.2超出政府采购法定期限的质疑。</w:t>
      </w:r>
    </w:p>
    <w:p w14:paraId="17FB2ED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2.5.3未参加磋商活动的供应商或在磋商活动中自身权益未受到损害的供应商所提出的质疑。</w:t>
      </w:r>
    </w:p>
    <w:p w14:paraId="30F40D3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2.5.4供应商组成联合体参加磋商，联合体中任何一方或多方未按要求签字、盖章、加盖公章的质疑。</w:t>
      </w:r>
    </w:p>
    <w:p w14:paraId="5CA07BC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采购人或采购代理机构</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07B03839">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成交通知书</w:t>
      </w:r>
    </w:p>
    <w:p w14:paraId="56C00F9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3.l成交结果确定后，</w:t>
      </w:r>
      <w:r>
        <w:rPr>
          <w:rFonts w:hint="eastAsia" w:ascii="宋体" w:hAnsi="宋体" w:eastAsia="宋体" w:cs="宋体"/>
          <w:color w:val="auto"/>
          <w:sz w:val="24"/>
          <w:szCs w:val="24"/>
          <w:highlight w:val="none"/>
          <w:lang w:val="en-US" w:eastAsia="zh-CN"/>
        </w:rPr>
        <w:t>采购人或采购代理机构</w:t>
      </w:r>
      <w:r>
        <w:rPr>
          <w:rFonts w:hint="eastAsia" w:ascii="宋体" w:hAnsi="宋体" w:eastAsia="宋体" w:cs="宋体"/>
          <w:color w:val="auto"/>
          <w:sz w:val="24"/>
          <w:szCs w:val="24"/>
          <w:highlight w:val="none"/>
        </w:rPr>
        <w:t>将向成交供应商发出成交通知书（详见磋商文件第四部分）。</w:t>
      </w:r>
    </w:p>
    <w:p w14:paraId="5079029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3.2成交通知书将是合同的一个组成部分。对采购人和成交供应商均具有法律效力。成交通知书发出后，采购人改变成交结果的，或者成交供应商放弃磋商项目的，应当依法承担法律责任。</w:t>
      </w:r>
    </w:p>
    <w:p w14:paraId="4BB7DB21">
      <w:pPr>
        <w:spacing w:line="360" w:lineRule="auto"/>
        <w:ind w:firstLine="482"/>
        <w:outlineLvl w:val="2"/>
        <w:rPr>
          <w:rFonts w:hint="eastAsia" w:ascii="宋体" w:hAnsi="宋体" w:eastAsia="宋体" w:cs="宋体"/>
          <w:b/>
          <w:bCs/>
          <w:color w:val="auto"/>
          <w:sz w:val="24"/>
          <w:szCs w:val="24"/>
          <w:highlight w:val="none"/>
        </w:rPr>
      </w:pPr>
      <w:bookmarkStart w:id="118" w:name="_Toc120614220"/>
      <w:bookmarkStart w:id="119" w:name="_Toc513029236"/>
      <w:bookmarkStart w:id="120" w:name="_Toc20823308"/>
      <w:bookmarkStart w:id="121" w:name="_Toc16938552"/>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授予合同</w:t>
      </w:r>
      <w:bookmarkEnd w:id="118"/>
    </w:p>
    <w:bookmarkEnd w:id="119"/>
    <w:bookmarkEnd w:id="120"/>
    <w:bookmarkEnd w:id="121"/>
    <w:p w14:paraId="455A6DA4">
      <w:pPr>
        <w:spacing w:line="360" w:lineRule="auto"/>
        <w:ind w:firstLine="480"/>
        <w:rPr>
          <w:rFonts w:hint="eastAsia" w:ascii="宋体" w:hAnsi="宋体" w:eastAsia="宋体" w:cs="宋体"/>
          <w:color w:val="auto"/>
          <w:sz w:val="24"/>
          <w:szCs w:val="24"/>
          <w:highlight w:val="none"/>
        </w:rPr>
      </w:pPr>
      <w:bookmarkStart w:id="122" w:name="_Toc513029242"/>
      <w:bookmarkStart w:id="123" w:name="_Toc16938558"/>
      <w:bookmarkStart w:id="124" w:name="_Toc20823314"/>
      <w:bookmarkStart w:id="125" w:name="_Toc479757207"/>
      <w:bookmarkStart w:id="126" w:name="_Toc120614221"/>
      <w:r>
        <w:rPr>
          <w:rFonts w:hint="eastAsia" w:ascii="宋体" w:hAnsi="宋体" w:eastAsia="宋体" w:cs="宋体"/>
          <w:color w:val="auto"/>
          <w:sz w:val="24"/>
          <w:szCs w:val="24"/>
          <w:highlight w:val="none"/>
        </w:rPr>
        <w:t>1.签订合同</w:t>
      </w:r>
    </w:p>
    <w:p w14:paraId="046A097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1.l成交供应商应当在成交通知书发出之日起三十日内，按照磋商文件确定的事项与采购人签订政府采购合同。</w:t>
      </w:r>
    </w:p>
    <w:p w14:paraId="523B546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1.2磋商文件、成交供应商的响应文件及磋商过程中有关澄清、承诺文件均应作为合同附件。</w:t>
      </w:r>
    </w:p>
    <w:p w14:paraId="0EB33C7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44CDF4D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2.货物和服务的追加、减少和添购。</w:t>
      </w:r>
    </w:p>
    <w:p w14:paraId="744EA0B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2.1政府采购合同履行中，采购人需追加与合同标的相同的货物和服务的，在不改变合同其他条款的前提下，可以与成交供应商协商签订补充合同，但所有补充合同的采购金额不超过原合同金额10%。</w:t>
      </w:r>
    </w:p>
    <w:p w14:paraId="2DB0D97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2.2采购结束后，采购人若由于各种客观原因，必须对采购项目所牵涉的货物和服务进行适当的减少时，在双方协商一致的前提下，可以按照采购时的价格水平做相应的调减，并据此签订补充合同。</w:t>
      </w:r>
    </w:p>
    <w:p w14:paraId="062DF04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3.合同信用融资扶持政策</w:t>
      </w:r>
    </w:p>
    <w:p w14:paraId="27A98B2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38191E55">
      <w:pPr>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8"/>
          <w:highlight w:val="none"/>
        </w:rPr>
        <w:br w:type="page" w:clear="all"/>
      </w:r>
      <w:bookmarkEnd w:id="122"/>
      <w:bookmarkEnd w:id="123"/>
      <w:bookmarkEnd w:id="124"/>
      <w:bookmarkEnd w:id="125"/>
      <w:bookmarkEnd w:id="126"/>
      <w:bookmarkStart w:id="127" w:name="_Hlt16619350"/>
      <w:bookmarkStart w:id="128" w:name="_Toc20823346"/>
      <w:bookmarkStart w:id="129" w:name="_Toc16938590"/>
      <w:bookmarkStart w:id="130" w:name="_Toc120614244"/>
      <w:bookmarkStart w:id="131" w:name="_Toc462564139"/>
      <w:bookmarkStart w:id="132" w:name="_Toc479757211"/>
    </w:p>
    <w:p w14:paraId="28A20C77">
      <w:pPr>
        <w:spacing w:line="360" w:lineRule="auto"/>
        <w:ind w:firstLine="880"/>
        <w:jc w:val="center"/>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1"/>
          <w:highlight w:val="none"/>
        </w:rPr>
        <w:t>第</w:t>
      </w:r>
      <w:bookmarkEnd w:id="127"/>
      <w:r>
        <w:rPr>
          <w:rFonts w:hint="eastAsia" w:ascii="宋体" w:hAnsi="宋体" w:eastAsia="宋体" w:cs="宋体"/>
          <w:bCs/>
          <w:color w:val="auto"/>
          <w:sz w:val="44"/>
          <w:szCs w:val="21"/>
          <w:highlight w:val="none"/>
          <w:lang w:val="en-US" w:eastAsia="zh-CN"/>
        </w:rPr>
        <w:t>三部分</w:t>
      </w:r>
      <w:r>
        <w:rPr>
          <w:rFonts w:hint="eastAsia" w:ascii="宋体" w:hAnsi="宋体" w:eastAsia="宋体" w:cs="宋体"/>
          <w:bCs/>
          <w:color w:val="auto"/>
          <w:sz w:val="44"/>
          <w:szCs w:val="21"/>
          <w:highlight w:val="none"/>
        </w:rPr>
        <w:t xml:space="preserve"> </w:t>
      </w:r>
      <w:r>
        <w:rPr>
          <w:rFonts w:hint="eastAsia" w:ascii="宋体" w:hAnsi="宋体" w:eastAsia="宋体" w:cs="宋体"/>
          <w:bCs/>
          <w:color w:val="auto"/>
          <w:sz w:val="44"/>
          <w:szCs w:val="21"/>
          <w:highlight w:val="none"/>
          <w:lang w:val="en-US" w:eastAsia="zh-CN"/>
        </w:rPr>
        <w:t>项目</w:t>
      </w:r>
      <w:r>
        <w:rPr>
          <w:rFonts w:hint="eastAsia" w:ascii="宋体" w:hAnsi="宋体" w:eastAsia="宋体" w:cs="宋体"/>
          <w:bCs/>
          <w:color w:val="auto"/>
          <w:sz w:val="44"/>
          <w:szCs w:val="21"/>
          <w:highlight w:val="none"/>
        </w:rPr>
        <w:t>需求</w:t>
      </w:r>
      <w:bookmarkEnd w:id="128"/>
      <w:bookmarkEnd w:id="129"/>
      <w:bookmarkEnd w:id="130"/>
      <w:bookmarkStart w:id="133" w:name="_Toc26554093"/>
      <w:bookmarkStart w:id="134" w:name="_Toc49090575"/>
    </w:p>
    <w:p w14:paraId="0F95A0EF">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shd w:val="clear"/>
        </w:rPr>
      </w:pPr>
      <w:bookmarkStart w:id="135" w:name="_Toc13080"/>
      <w:bookmarkStart w:id="136" w:name="_Toc4280"/>
      <w:r>
        <w:rPr>
          <w:rFonts w:hint="eastAsia" w:ascii="宋体" w:hAnsi="宋体" w:eastAsia="宋体" w:cs="宋体"/>
          <w:i w:val="0"/>
          <w:iCs w:val="0"/>
          <w:caps w:val="0"/>
          <w:color w:val="auto"/>
          <w:spacing w:val="0"/>
          <w:sz w:val="24"/>
          <w:szCs w:val="24"/>
          <w:highlight w:val="none"/>
          <w:shd w:val="clear"/>
        </w:rPr>
        <w:t>供应商在制作响应文件时仔细研究项目需求说明。项目需求包括技术要求和商务要求</w:t>
      </w:r>
      <w:r>
        <w:rPr>
          <w:rFonts w:hint="eastAsia" w:ascii="宋体" w:hAnsi="宋体" w:cs="宋体"/>
          <w:i w:val="0"/>
          <w:iCs w:val="0"/>
          <w:caps w:val="0"/>
          <w:color w:val="auto"/>
          <w:spacing w:val="0"/>
          <w:sz w:val="24"/>
          <w:szCs w:val="24"/>
          <w:highlight w:val="none"/>
          <w:shd w:val="clear"/>
          <w:lang w:eastAsia="zh-CN"/>
        </w:rPr>
        <w:t>：</w:t>
      </w:r>
      <w:r>
        <w:rPr>
          <w:rFonts w:hint="eastAsia" w:ascii="宋体" w:hAnsi="宋体" w:eastAsia="宋体" w:cs="宋体"/>
          <w:i w:val="0"/>
          <w:iCs w:val="0"/>
          <w:caps w:val="0"/>
          <w:color w:val="auto"/>
          <w:spacing w:val="0"/>
          <w:sz w:val="24"/>
          <w:szCs w:val="24"/>
          <w:highlight w:val="none"/>
          <w:shd w:val="clear"/>
        </w:rPr>
        <w:t>技术要求是指对采购标的功能和质量要求，包括性能、材料、结构、外观、安全，或者服务内容和标准等</w:t>
      </w:r>
      <w:r>
        <w:rPr>
          <w:rFonts w:hint="eastAsia" w:ascii="宋体" w:hAnsi="宋体" w:cs="宋体"/>
          <w:i w:val="0"/>
          <w:iCs w:val="0"/>
          <w:caps w:val="0"/>
          <w:color w:val="auto"/>
          <w:spacing w:val="0"/>
          <w:sz w:val="24"/>
          <w:szCs w:val="24"/>
          <w:highlight w:val="none"/>
          <w:shd w:val="clear"/>
          <w:lang w:eastAsia="zh-CN"/>
        </w:rPr>
        <w:t>；</w:t>
      </w:r>
      <w:r>
        <w:rPr>
          <w:rFonts w:hint="eastAsia" w:ascii="宋体" w:hAnsi="宋体" w:eastAsia="宋体" w:cs="宋体"/>
          <w:i w:val="0"/>
          <w:iCs w:val="0"/>
          <w:caps w:val="0"/>
          <w:color w:val="auto"/>
          <w:spacing w:val="0"/>
          <w:sz w:val="24"/>
          <w:szCs w:val="24"/>
          <w:highlight w:val="none"/>
          <w:shd w:val="clear"/>
        </w:rPr>
        <w:t>商务要求是指取得采购标的的时间、地点、财务和服务要求，包括交付（实施）的时间（期限）和地点（范围），付款条件（进度和方法），包装和运输，售后服务，保险等。</w:t>
      </w:r>
    </w:p>
    <w:p w14:paraId="379413B3">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shd w:val="clear"/>
        </w:rPr>
      </w:pPr>
      <w:r>
        <w:rPr>
          <w:rFonts w:hint="eastAsia" w:ascii="宋体" w:hAnsi="宋体" w:eastAsia="宋体" w:cs="宋体"/>
          <w:i w:val="0"/>
          <w:iCs w:val="0"/>
          <w:caps w:val="0"/>
          <w:color w:val="auto"/>
          <w:spacing w:val="0"/>
          <w:sz w:val="24"/>
          <w:szCs w:val="24"/>
          <w:highlight w:val="none"/>
          <w:shd w:val="clear"/>
        </w:rPr>
        <w:t>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p>
    <w:p w14:paraId="3E262459">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lang w:val="en-US" w:eastAsia="zh-CN"/>
        </w:rPr>
        <w:t>一、技术要求</w:t>
      </w:r>
    </w:p>
    <w:bookmarkEnd w:id="135"/>
    <w:bookmarkEnd w:id="136"/>
    <w:p w14:paraId="61787C3D">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lang w:val="en-US" w:eastAsia="zh-CN"/>
        </w:rPr>
        <w:t>（一）</w:t>
      </w:r>
      <w:r>
        <w:rPr>
          <w:rFonts w:hint="eastAsia" w:ascii="宋体" w:hAnsi="宋体" w:eastAsia="宋体" w:cs="宋体"/>
          <w:i w:val="0"/>
          <w:iCs w:val="0"/>
          <w:caps w:val="0"/>
          <w:color w:val="auto"/>
          <w:spacing w:val="0"/>
          <w:sz w:val="24"/>
          <w:szCs w:val="24"/>
          <w:highlight w:val="none"/>
          <w:shd w:val="clear"/>
        </w:rPr>
        <w:t>项目概况</w:t>
      </w:r>
    </w:p>
    <w:p w14:paraId="11490245">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1.启东市世纪大道西延工程（西苑路－终点下穿沪渝蓉段），起于现状世纪大道与西苑路平交口，路线向西与启迪路平交后，继续向西下穿沪渝蓉高铁，终于沪渝蓉高铁以西约200m处，采用双向六车道一级公路标准，路线全长约5.4km。建安费约2.6亿元。</w:t>
      </w:r>
    </w:p>
    <w:p w14:paraId="7F623160">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2.启东市站前路（启迪路）工程位于启东市境内西侧，沪渝蓉高铁启东西站以东位置，北起G345国道，南至S356沿江公路，采用双向六车道一级公路标准，路线全长约3.9km，其中南引河大桥为主跨跨径65米的钢管混凝土系杆拱桥梁。建安费约2.4亿元。</w:t>
      </w:r>
    </w:p>
    <w:p w14:paraId="64B89F9E">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lang w:val="en-US" w:eastAsia="zh-CN"/>
        </w:rPr>
        <w:t>（二）</w:t>
      </w:r>
      <w:r>
        <w:rPr>
          <w:rFonts w:hint="eastAsia" w:ascii="宋体" w:hAnsi="宋体" w:eastAsia="宋体" w:cs="宋体"/>
          <w:i w:val="0"/>
          <w:iCs w:val="0"/>
          <w:caps w:val="0"/>
          <w:color w:val="auto"/>
          <w:spacing w:val="0"/>
          <w:sz w:val="24"/>
          <w:szCs w:val="24"/>
          <w:highlight w:val="none"/>
          <w:shd w:val="clear"/>
        </w:rPr>
        <w:t>服务范围</w:t>
      </w:r>
    </w:p>
    <w:p w14:paraId="36F49F43">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启东世纪大道西延与站前路（启迪路）工程项目开展安全管理及技术咨询服务（含环保），优化提升工程实施工程中的现场安全环保管理工作效能。主要工作内容包括但不限于以下工作：</w:t>
      </w:r>
    </w:p>
    <w:p w14:paraId="17CDAAB2">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1.安全环保管理</w:t>
      </w:r>
    </w:p>
    <w:p w14:paraId="3B0E6DA3">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①做好工程开工前安全环保生产条件核查。</w:t>
      </w:r>
    </w:p>
    <w:p w14:paraId="2C08659A">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②规范施工、监理单位的安全环保管理行为，每周对施工现场进行安全环保巡查，提交现场安全环保巡查报告，并跟踪督促落实现场整改情况。</w:t>
      </w:r>
    </w:p>
    <w:p w14:paraId="16C1EED2">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③根据施工方案、施工进度、季节施工的特点及上级有关通知要求，制定安全环保专项检查方案、活动方案，迎接各类专项安全环保检查。</w:t>
      </w:r>
    </w:p>
    <w:p w14:paraId="17EB0CC4">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④拟定编制安全环保管理制度、安全环保考核等各类安全管理文件，明确安全岗位职责，并对施工、监理单位进行安全环保生产考核。</w:t>
      </w:r>
    </w:p>
    <w:p w14:paraId="02A2A111">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⑤审查施工、监理单位编制的专项施工方案，提出书面审查意见，并参加专项施工方案评审。</w:t>
      </w:r>
    </w:p>
    <w:p w14:paraId="63990D93">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⑥参与对系杆拱肋搭设情况进行检查和验收，督促施工单位落实整改措施。</w:t>
      </w:r>
    </w:p>
    <w:p w14:paraId="65041F4E">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⑦每半年至少组织一次全线安全教育培训，每年度组织应急演练。</w:t>
      </w:r>
    </w:p>
    <w:p w14:paraId="7B66941D">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⑧建立健全安全风险分级管控机制和隐患排查“双重预防机制”，编制项目重大风险管控和重大事故隐患治理清单；编制项目工程总体安全风险评估报告及综合应急预案，并组织通过专家评审（进场后30日内完成）；协助审查施工单位编制的专项风险评估报告及专项应急预案、现场处置方案。对风险控制措施落实情况进行跟踪检查。</w:t>
      </w:r>
    </w:p>
    <w:p w14:paraId="758BAA13">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⑨协助部署落实国家、地方政府、行业主管部门布置的平安工地建设等安全生产专项工作，按年度制定本项目省级平安工程建设实施方案，明确年度平安工程建设工作计划及工作任务，督促监理、施工单位落实平安工地建设等专项工作。同时，根据当</w:t>
      </w:r>
      <w:bookmarkStart w:id="153" w:name="_GoBack"/>
      <w:r>
        <w:rPr>
          <w:rFonts w:hint="eastAsia" w:ascii="宋体" w:hAnsi="宋体" w:eastAsia="宋体" w:cs="宋体"/>
          <w:i w:val="0"/>
          <w:iCs w:val="0"/>
          <w:caps w:val="0"/>
          <w:color w:val="auto"/>
          <w:spacing w:val="0"/>
          <w:sz w:val="24"/>
          <w:szCs w:val="24"/>
          <w:highlight w:val="none"/>
          <w:shd w:val="clear"/>
        </w:rPr>
        <w:t>年</w:t>
      </w:r>
      <w:bookmarkEnd w:id="153"/>
      <w:r>
        <w:rPr>
          <w:rFonts w:hint="eastAsia" w:ascii="宋体" w:hAnsi="宋体" w:eastAsia="宋体" w:cs="宋体"/>
          <w:i w:val="0"/>
          <w:iCs w:val="0"/>
          <w:caps w:val="0"/>
          <w:color w:val="auto"/>
          <w:spacing w:val="0"/>
          <w:sz w:val="24"/>
          <w:szCs w:val="24"/>
          <w:highlight w:val="none"/>
          <w:shd w:val="clear"/>
        </w:rPr>
        <w:t>度省、市级交通运输主管部门的相关要求及工作部署，做好年度省、市级平安工地迎检、验收等工作。</w:t>
      </w:r>
    </w:p>
    <w:p w14:paraId="312AF461">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⑩配合上级主管部门和当地行政主管部门做好对安全环保工作的检查及考核。</w:t>
      </w:r>
    </w:p>
    <w:p w14:paraId="0CC90153">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⑪参加相关月度安全会议；协助组织召开项目季度安全工作点评会，以ppt形式点评安全工作存在的不足和改进措施，印发建设单位相关安全例会纪要。</w:t>
      </w:r>
    </w:p>
    <w:p w14:paraId="43572819">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⑫做好对项目安全经费、环保经费的审查工作并记录。</w:t>
      </w:r>
    </w:p>
    <w:p w14:paraId="41C1BCBA">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⑬组织项目月度安全环保生产工作例会及其他与安全环保管理相关的会议。</w:t>
      </w:r>
    </w:p>
    <w:p w14:paraId="1520FE75">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⑭对安全环保管理工作进行记录，建立健全安全环保管理工作台账并归档。</w:t>
      </w:r>
    </w:p>
    <w:p w14:paraId="14B056EF">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⑮配合相关部门做好生产安全事故的调查分析。</w:t>
      </w:r>
    </w:p>
    <w:p w14:paraId="7D15FC75">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⑯结合智慧工地创建要求，协助做好安全信息化管理的创建工作。</w:t>
      </w:r>
    </w:p>
    <w:p w14:paraId="5927E9EF">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⑰其他现场安全环保管理工作。</w:t>
      </w:r>
    </w:p>
    <w:p w14:paraId="2BCFBF0B">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2.技术工作内容</w:t>
      </w:r>
    </w:p>
    <w:p w14:paraId="46031101">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①施工技术指导意见的审查审核编制，安全环保技术交底及培训的组织或主持；</w:t>
      </w:r>
    </w:p>
    <w:p w14:paraId="10832B88">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②施工组织、施工技术及施工专项安全等方案的审查与评审；</w:t>
      </w:r>
    </w:p>
    <w:p w14:paraId="6E6AF5FE">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③临时结构设计方案验算复核与评估；</w:t>
      </w:r>
    </w:p>
    <w:p w14:paraId="551224E9">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④现场巡查及指导；</w:t>
      </w:r>
    </w:p>
    <w:p w14:paraId="14BB1712">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⑤其他需要的技术咨询服务。</w:t>
      </w:r>
    </w:p>
    <w:p w14:paraId="5FA52F26">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lang w:val="en-US" w:eastAsia="zh-CN"/>
        </w:rPr>
        <w:t>（三）</w:t>
      </w:r>
      <w:r>
        <w:rPr>
          <w:rFonts w:hint="eastAsia" w:ascii="宋体" w:hAnsi="宋体" w:eastAsia="宋体" w:cs="宋体"/>
          <w:i w:val="0"/>
          <w:iCs w:val="0"/>
          <w:caps w:val="0"/>
          <w:color w:val="auto"/>
          <w:spacing w:val="0"/>
          <w:sz w:val="24"/>
          <w:szCs w:val="24"/>
          <w:highlight w:val="none"/>
          <w:shd w:val="clear"/>
        </w:rPr>
        <w:t>驻场人员要求</w:t>
      </w:r>
    </w:p>
    <w:p w14:paraId="648A26FE">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项目驻场服务人员1人（即项目负责人），参与采购人日常安全环保管理且服从</w:t>
      </w:r>
      <w:r>
        <w:rPr>
          <w:rFonts w:hint="eastAsia" w:ascii="宋体" w:hAnsi="宋体" w:eastAsia="宋体" w:cs="宋体"/>
          <w:i w:val="0"/>
          <w:iCs w:val="0"/>
          <w:caps w:val="0"/>
          <w:color w:val="auto"/>
          <w:spacing w:val="0"/>
          <w:sz w:val="24"/>
          <w:szCs w:val="24"/>
          <w:highlight w:val="none"/>
          <w:shd w:val="clear"/>
          <w:lang w:eastAsia="zh-CN"/>
        </w:rPr>
        <w:t>采购</w:t>
      </w:r>
      <w:r>
        <w:rPr>
          <w:rFonts w:hint="eastAsia" w:ascii="宋体" w:hAnsi="宋体" w:eastAsia="宋体" w:cs="宋体"/>
          <w:i w:val="0"/>
          <w:iCs w:val="0"/>
          <w:caps w:val="0"/>
          <w:color w:val="auto"/>
          <w:spacing w:val="0"/>
          <w:sz w:val="24"/>
          <w:szCs w:val="24"/>
          <w:highlight w:val="none"/>
          <w:shd w:val="clear"/>
        </w:rPr>
        <w:t>人统一调度，并且每月在工地现场不得少于21天。</w:t>
      </w:r>
    </w:p>
    <w:p w14:paraId="37FF5B0F">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lang w:val="en-US" w:eastAsia="zh-CN"/>
        </w:rPr>
        <w:t>（四）</w:t>
      </w:r>
      <w:r>
        <w:rPr>
          <w:rFonts w:hint="eastAsia" w:ascii="宋体" w:hAnsi="宋体" w:eastAsia="宋体" w:cs="宋体"/>
          <w:i w:val="0"/>
          <w:iCs w:val="0"/>
          <w:caps w:val="0"/>
          <w:color w:val="auto"/>
          <w:spacing w:val="0"/>
          <w:sz w:val="24"/>
          <w:szCs w:val="24"/>
          <w:highlight w:val="none"/>
          <w:shd w:val="clear"/>
        </w:rPr>
        <w:t>车辆配备要求</w:t>
      </w:r>
    </w:p>
    <w:p w14:paraId="5A8D4FB8">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为保障项目实施管理需要，供应商需配备1辆燃油汽车作为工程联络专用车。</w:t>
      </w:r>
    </w:p>
    <w:p w14:paraId="0989E666">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1.供应商在接到</w:t>
      </w:r>
      <w:r>
        <w:rPr>
          <w:rFonts w:hint="eastAsia" w:ascii="宋体" w:hAnsi="宋体" w:eastAsia="宋体" w:cs="宋体"/>
          <w:i w:val="0"/>
          <w:iCs w:val="0"/>
          <w:caps w:val="0"/>
          <w:color w:val="auto"/>
          <w:spacing w:val="0"/>
          <w:sz w:val="24"/>
          <w:szCs w:val="24"/>
          <w:highlight w:val="none"/>
          <w:shd w:val="clear"/>
          <w:lang w:eastAsia="zh-CN"/>
        </w:rPr>
        <w:t>成交</w:t>
      </w:r>
      <w:r>
        <w:rPr>
          <w:rFonts w:hint="eastAsia" w:ascii="宋体" w:hAnsi="宋体" w:eastAsia="宋体" w:cs="宋体"/>
          <w:i w:val="0"/>
          <w:iCs w:val="0"/>
          <w:caps w:val="0"/>
          <w:color w:val="auto"/>
          <w:spacing w:val="0"/>
          <w:sz w:val="24"/>
          <w:szCs w:val="24"/>
          <w:highlight w:val="none"/>
          <w:shd w:val="clear"/>
        </w:rPr>
        <w:t>通知书一个月内车辆到位。自</w:t>
      </w:r>
      <w:r>
        <w:rPr>
          <w:rFonts w:hint="eastAsia" w:ascii="宋体" w:hAnsi="宋体" w:eastAsia="宋体" w:cs="宋体"/>
          <w:i w:val="0"/>
          <w:iCs w:val="0"/>
          <w:caps w:val="0"/>
          <w:color w:val="auto"/>
          <w:spacing w:val="0"/>
          <w:sz w:val="24"/>
          <w:szCs w:val="24"/>
          <w:highlight w:val="none"/>
          <w:shd w:val="clear"/>
          <w:lang w:eastAsia="zh-CN"/>
        </w:rPr>
        <w:t>成交</w:t>
      </w:r>
      <w:r>
        <w:rPr>
          <w:rFonts w:hint="eastAsia" w:ascii="宋体" w:hAnsi="宋体" w:eastAsia="宋体" w:cs="宋体"/>
          <w:i w:val="0"/>
          <w:iCs w:val="0"/>
          <w:caps w:val="0"/>
          <w:color w:val="auto"/>
          <w:spacing w:val="0"/>
          <w:sz w:val="24"/>
          <w:szCs w:val="24"/>
          <w:highlight w:val="none"/>
          <w:shd w:val="clear"/>
        </w:rPr>
        <w:t>通知书发出之日起至项目交工验收结束，根据工作需要，采购人和供应商可以使用该车辆。</w:t>
      </w:r>
    </w:p>
    <w:p w14:paraId="2BE5B414">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rPr>
        <w:t>2.车辆使用费（包括但不限于驾驶员工资、年检、保养、保险、维修、油耗、通行费等费用），均由相应供应商承担，供应商应在投标报价中予以充分考虑，合同执行期间采购人不另行支付费用，供应商也不得就此要求补偿。其中投保险种应包括但不限于机动车交通事故责任强制保险、机动车损失保险、机动车第三者责任保险（保额应不低于人民币300万元）和车上人员责任险（包括司机和乘客），以及不计免赔保险等。</w:t>
      </w:r>
    </w:p>
    <w:p w14:paraId="7EF094F2">
      <w:pPr>
        <w:pageBreakBefore w:val="0"/>
        <w:widowControl/>
        <w:numPr>
          <w:ilvl w:val="0"/>
          <w:numId w:val="0"/>
        </w:numPr>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rPr>
        <w:t>3.供应商应保证采购人免于承担因供应商提供的车辆的车险事故或驾驶员所引起的赔偿、诉讼、指控及相关费用。</w:t>
      </w:r>
    </w:p>
    <w:p w14:paraId="48C5524E">
      <w:pPr>
        <w:keepNext w:val="0"/>
        <w:keepLines w:val="0"/>
        <w:pageBreakBefore w:val="0"/>
        <w:widowControl/>
        <w:numPr>
          <w:ilvl w:val="-1"/>
          <w:numId w:val="0"/>
        </w:numPr>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lang w:val="en-US" w:eastAsia="zh-CN"/>
        </w:rPr>
        <w:t>二、商务要求</w:t>
      </w:r>
    </w:p>
    <w:p w14:paraId="620D99BB">
      <w:pPr>
        <w:keepNext w:val="0"/>
        <w:keepLines w:val="0"/>
        <w:pageBreakBefore w:val="0"/>
        <w:widowControl/>
        <w:numPr>
          <w:ilvl w:val="-1"/>
          <w:numId w:val="0"/>
        </w:numPr>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宋体" w:eastAsia="宋体" w:cs="宋体"/>
          <w:i w:val="0"/>
          <w:iCs w:val="0"/>
          <w:caps w:val="0"/>
          <w:color w:val="auto"/>
          <w:spacing w:val="0"/>
          <w:sz w:val="24"/>
          <w:szCs w:val="24"/>
          <w:highlight w:val="none"/>
          <w:shd w:val="clear"/>
        </w:rPr>
      </w:pPr>
      <w:r>
        <w:rPr>
          <w:rFonts w:hint="eastAsia" w:ascii="宋体" w:hAnsi="宋体" w:eastAsia="宋体" w:cs="宋体"/>
          <w:i w:val="0"/>
          <w:iCs w:val="0"/>
          <w:caps w:val="0"/>
          <w:color w:val="auto"/>
          <w:spacing w:val="0"/>
          <w:sz w:val="24"/>
          <w:szCs w:val="24"/>
          <w:highlight w:val="none"/>
          <w:shd w:val="clear"/>
          <w:lang w:val="en-US" w:eastAsia="zh-CN"/>
        </w:rPr>
        <w:t>（一）</w:t>
      </w:r>
      <w:r>
        <w:rPr>
          <w:rFonts w:hint="eastAsia" w:ascii="宋体" w:hAnsi="宋体" w:eastAsia="宋体" w:cs="宋体"/>
          <w:i w:val="0"/>
          <w:iCs w:val="0"/>
          <w:caps w:val="0"/>
          <w:color w:val="auto"/>
          <w:spacing w:val="0"/>
          <w:sz w:val="24"/>
          <w:szCs w:val="24"/>
          <w:highlight w:val="none"/>
          <w:shd w:val="clear"/>
        </w:rPr>
        <w:t>服务周期</w:t>
      </w:r>
    </w:p>
    <w:p w14:paraId="0273D005">
      <w:pPr>
        <w:keepNext w:val="0"/>
        <w:keepLines w:val="0"/>
        <w:pageBreakBefore w:val="0"/>
        <w:widowControl/>
        <w:numPr>
          <w:ilvl w:val="-1"/>
          <w:numId w:val="0"/>
        </w:numPr>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宋体" w:eastAsia="宋体" w:cs="宋体"/>
          <w:i w:val="0"/>
          <w:iCs w:val="0"/>
          <w:caps w:val="0"/>
          <w:color w:val="auto"/>
          <w:spacing w:val="0"/>
          <w:sz w:val="24"/>
          <w:szCs w:val="24"/>
          <w:highlight w:val="none"/>
          <w:shd w:val="clear"/>
        </w:rPr>
      </w:pPr>
      <w:r>
        <w:rPr>
          <w:rFonts w:hint="eastAsia" w:ascii="宋体" w:hAnsi="宋体" w:eastAsia="宋体" w:cs="宋体"/>
          <w:i w:val="0"/>
          <w:iCs w:val="0"/>
          <w:caps w:val="0"/>
          <w:color w:val="auto"/>
          <w:spacing w:val="0"/>
          <w:sz w:val="24"/>
          <w:szCs w:val="24"/>
          <w:highlight w:val="none"/>
          <w:shd w:val="clear"/>
        </w:rPr>
        <w:t>自合同签订之日起至工程交工验收合格之日止（施工计划工期为24个月，具体以施工实际实施时间为准）。</w:t>
      </w:r>
    </w:p>
    <w:p w14:paraId="56E37AA3">
      <w:pPr>
        <w:keepNext w:val="0"/>
        <w:keepLines w:val="0"/>
        <w:pageBreakBefore w:val="0"/>
        <w:widowControl/>
        <w:numPr>
          <w:ilvl w:val="0"/>
          <w:numId w:val="0"/>
        </w:numPr>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lang w:val="en-US" w:eastAsia="zh-CN" w:bidi="ar-SA"/>
        </w:rPr>
        <w:t>（二）</w:t>
      </w:r>
      <w:r>
        <w:rPr>
          <w:rFonts w:hint="eastAsia" w:ascii="宋体" w:hAnsi="宋体" w:eastAsia="宋体" w:cs="宋体"/>
          <w:i w:val="0"/>
          <w:iCs w:val="0"/>
          <w:caps w:val="0"/>
          <w:color w:val="auto"/>
          <w:spacing w:val="0"/>
          <w:sz w:val="24"/>
          <w:szCs w:val="24"/>
          <w:highlight w:val="none"/>
          <w:shd w:val="clear"/>
          <w:lang w:val="en-US" w:eastAsia="zh-CN"/>
        </w:rPr>
        <w:t>报价要求</w:t>
      </w:r>
    </w:p>
    <w:p w14:paraId="4D026780">
      <w:pPr>
        <w:keepNext w:val="0"/>
        <w:keepLines w:val="0"/>
        <w:pageBreakBefore w:val="0"/>
        <w:widowControl/>
        <w:numPr>
          <w:ilvl w:val="-1"/>
          <w:numId w:val="0"/>
        </w:numPr>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宋体" w:eastAsia="宋体" w:cs="宋体"/>
          <w:i w:val="0"/>
          <w:iCs w:val="0"/>
          <w:caps w:val="0"/>
          <w:color w:val="auto"/>
          <w:spacing w:val="0"/>
          <w:sz w:val="24"/>
          <w:szCs w:val="24"/>
          <w:highlight w:val="none"/>
          <w:shd w:val="clear"/>
          <w:lang w:val="zh-CN"/>
        </w:rPr>
      </w:pPr>
      <w:r>
        <w:rPr>
          <w:rFonts w:hint="eastAsia" w:ascii="宋体" w:hAnsi="宋体" w:eastAsia="宋体" w:cs="宋体"/>
          <w:i w:val="0"/>
          <w:iCs w:val="0"/>
          <w:caps w:val="0"/>
          <w:color w:val="auto"/>
          <w:spacing w:val="0"/>
          <w:sz w:val="24"/>
          <w:szCs w:val="24"/>
          <w:highlight w:val="none"/>
          <w:shd w:val="clear"/>
          <w:lang w:val="en-US" w:eastAsia="zh-CN"/>
        </w:rPr>
        <w:t>1.</w:t>
      </w:r>
      <w:r>
        <w:rPr>
          <w:rFonts w:hint="eastAsia" w:ascii="宋体" w:hAnsi="宋体" w:eastAsia="宋体" w:cs="宋体"/>
          <w:i w:val="0"/>
          <w:iCs w:val="0"/>
          <w:caps w:val="0"/>
          <w:color w:val="auto"/>
          <w:spacing w:val="0"/>
          <w:sz w:val="24"/>
          <w:szCs w:val="24"/>
          <w:highlight w:val="none"/>
          <w:shd w:val="clear"/>
          <w:lang w:val="zh-CN"/>
        </w:rPr>
        <w:t>本项目采用总价包干合同，包括</w:t>
      </w:r>
      <w:r>
        <w:rPr>
          <w:rFonts w:hint="eastAsia" w:ascii="宋体" w:hAnsi="宋体" w:eastAsia="宋体" w:cs="宋体"/>
          <w:i w:val="0"/>
          <w:iCs w:val="0"/>
          <w:caps w:val="0"/>
          <w:color w:val="auto"/>
          <w:spacing w:val="0"/>
          <w:sz w:val="24"/>
          <w:szCs w:val="24"/>
          <w:highlight w:val="none"/>
          <w:shd w:val="clear"/>
          <w:lang w:val="en-US" w:eastAsia="zh-CN"/>
        </w:rPr>
        <w:t>但不限于</w:t>
      </w:r>
      <w:r>
        <w:rPr>
          <w:rFonts w:hint="eastAsia" w:ascii="宋体" w:hAnsi="宋体" w:eastAsia="宋体" w:cs="宋体"/>
          <w:i w:val="0"/>
          <w:iCs w:val="0"/>
          <w:caps w:val="0"/>
          <w:color w:val="auto"/>
          <w:spacing w:val="0"/>
          <w:sz w:val="24"/>
          <w:szCs w:val="24"/>
          <w:highlight w:val="none"/>
          <w:shd w:val="clear"/>
          <w:lang w:val="zh-CN"/>
        </w:rPr>
        <w:t>人员服务费、差旅费、</w:t>
      </w:r>
      <w:r>
        <w:rPr>
          <w:rFonts w:hint="eastAsia" w:ascii="宋体" w:hAnsi="宋体" w:eastAsia="宋体" w:cs="宋体"/>
          <w:i w:val="0"/>
          <w:iCs w:val="0"/>
          <w:caps w:val="0"/>
          <w:color w:val="auto"/>
          <w:spacing w:val="0"/>
          <w:sz w:val="24"/>
          <w:szCs w:val="24"/>
          <w:highlight w:val="none"/>
          <w:shd w:val="clear"/>
        </w:rPr>
        <w:t>车辆使用费</w:t>
      </w:r>
      <w:r>
        <w:rPr>
          <w:rFonts w:hint="eastAsia" w:ascii="宋体" w:hAnsi="宋体" w:eastAsia="宋体" w:cs="宋体"/>
          <w:i w:val="0"/>
          <w:iCs w:val="0"/>
          <w:caps w:val="0"/>
          <w:color w:val="auto"/>
          <w:spacing w:val="0"/>
          <w:sz w:val="24"/>
          <w:szCs w:val="24"/>
          <w:highlight w:val="none"/>
          <w:shd w:val="clear"/>
          <w:lang w:eastAsia="zh-CN"/>
        </w:rPr>
        <w:t>、</w:t>
      </w:r>
      <w:r>
        <w:rPr>
          <w:rFonts w:hint="eastAsia" w:ascii="宋体" w:hAnsi="宋体" w:eastAsia="宋体" w:cs="宋体"/>
          <w:i w:val="0"/>
          <w:iCs w:val="0"/>
          <w:caps w:val="0"/>
          <w:color w:val="auto"/>
          <w:spacing w:val="0"/>
          <w:sz w:val="24"/>
          <w:szCs w:val="24"/>
          <w:highlight w:val="none"/>
          <w:shd w:val="clear"/>
          <w:lang w:val="zh-CN"/>
        </w:rPr>
        <w:t>办公设备及用品费、</w:t>
      </w:r>
      <w:r>
        <w:rPr>
          <w:rFonts w:hint="eastAsia" w:ascii="宋体" w:hAnsi="宋体" w:eastAsia="宋体" w:cs="宋体"/>
          <w:i w:val="0"/>
          <w:iCs w:val="0"/>
          <w:caps w:val="0"/>
          <w:color w:val="auto"/>
          <w:spacing w:val="0"/>
          <w:sz w:val="24"/>
          <w:szCs w:val="24"/>
          <w:highlight w:val="none"/>
          <w:shd w:val="clear"/>
          <w:lang w:val="en-US" w:eastAsia="zh-CN"/>
        </w:rPr>
        <w:t>专家评审费（如有）、会务费（如有）、</w:t>
      </w:r>
      <w:r>
        <w:rPr>
          <w:rFonts w:hint="eastAsia" w:ascii="宋体" w:hAnsi="宋体" w:eastAsia="宋体" w:cs="宋体"/>
          <w:i w:val="0"/>
          <w:iCs w:val="0"/>
          <w:caps w:val="0"/>
          <w:color w:val="auto"/>
          <w:spacing w:val="0"/>
          <w:sz w:val="24"/>
          <w:szCs w:val="24"/>
          <w:highlight w:val="none"/>
          <w:shd w:val="clear"/>
          <w:lang w:val="zh-CN"/>
        </w:rPr>
        <w:t>材料印刷费、规费、税金、保险、利润等与履行合同有关的一切费用以及所有一般风险责任和义务费用。在合同实施期间，该费用不随国家政策或法规、标准及市场因素等的变化而进行调整。</w:t>
      </w:r>
    </w:p>
    <w:p w14:paraId="18857691">
      <w:pPr>
        <w:keepNext w:val="0"/>
        <w:keepLines w:val="0"/>
        <w:pageBreakBefore w:val="0"/>
        <w:widowControl/>
        <w:numPr>
          <w:ilvl w:val="-1"/>
          <w:numId w:val="0"/>
        </w:numPr>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宋体" w:eastAsia="宋体" w:cs="宋体"/>
          <w:i w:val="0"/>
          <w:iCs w:val="0"/>
          <w:caps w:val="0"/>
          <w:color w:val="auto"/>
          <w:spacing w:val="0"/>
          <w:sz w:val="24"/>
          <w:szCs w:val="24"/>
          <w:highlight w:val="none"/>
          <w:shd w:val="clear"/>
          <w:lang w:val="zh-CN"/>
        </w:rPr>
      </w:pPr>
      <w:r>
        <w:rPr>
          <w:rFonts w:hint="eastAsia" w:ascii="宋体" w:hAnsi="宋体" w:eastAsia="宋体" w:cs="宋体"/>
          <w:i w:val="0"/>
          <w:iCs w:val="0"/>
          <w:caps w:val="0"/>
          <w:color w:val="auto"/>
          <w:spacing w:val="0"/>
          <w:sz w:val="24"/>
          <w:szCs w:val="24"/>
          <w:highlight w:val="none"/>
          <w:shd w:val="clear"/>
          <w:lang w:val="en-US" w:eastAsia="zh-CN"/>
        </w:rPr>
        <w:t>2.供应商</w:t>
      </w:r>
      <w:r>
        <w:rPr>
          <w:rFonts w:hint="eastAsia" w:ascii="宋体" w:hAnsi="宋体" w:eastAsia="宋体" w:cs="宋体"/>
          <w:i w:val="0"/>
          <w:iCs w:val="0"/>
          <w:caps w:val="0"/>
          <w:color w:val="auto"/>
          <w:spacing w:val="0"/>
          <w:sz w:val="24"/>
          <w:szCs w:val="24"/>
          <w:highlight w:val="none"/>
          <w:shd w:val="clear"/>
          <w:lang w:val="zh-CN"/>
        </w:rPr>
        <w:t>为本项目需缴纳的一切规费、税费均由</w:t>
      </w:r>
      <w:r>
        <w:rPr>
          <w:rFonts w:hint="eastAsia" w:ascii="宋体" w:hAnsi="宋体" w:eastAsia="宋体" w:cs="宋体"/>
          <w:i w:val="0"/>
          <w:iCs w:val="0"/>
          <w:caps w:val="0"/>
          <w:color w:val="auto"/>
          <w:spacing w:val="0"/>
          <w:sz w:val="24"/>
          <w:szCs w:val="24"/>
          <w:highlight w:val="none"/>
          <w:shd w:val="clear"/>
          <w:lang w:val="en-US" w:eastAsia="zh-CN"/>
        </w:rPr>
        <w:t>供应商</w:t>
      </w:r>
      <w:r>
        <w:rPr>
          <w:rFonts w:hint="eastAsia" w:ascii="宋体" w:hAnsi="宋体" w:eastAsia="宋体" w:cs="宋体"/>
          <w:i w:val="0"/>
          <w:iCs w:val="0"/>
          <w:caps w:val="0"/>
          <w:color w:val="auto"/>
          <w:spacing w:val="0"/>
          <w:sz w:val="24"/>
          <w:szCs w:val="24"/>
          <w:highlight w:val="none"/>
          <w:shd w:val="clear"/>
          <w:lang w:val="zh-CN"/>
        </w:rPr>
        <w:t>承担并包含在投标报价中，不单独计列。</w:t>
      </w:r>
      <w:r>
        <w:rPr>
          <w:rFonts w:hint="eastAsia" w:ascii="宋体" w:hAnsi="宋体" w:eastAsia="宋体" w:cs="宋体"/>
          <w:i w:val="0"/>
          <w:iCs w:val="0"/>
          <w:caps w:val="0"/>
          <w:color w:val="auto"/>
          <w:spacing w:val="0"/>
          <w:sz w:val="24"/>
          <w:szCs w:val="24"/>
          <w:highlight w:val="none"/>
          <w:shd w:val="clear"/>
          <w:lang w:val="en-US" w:eastAsia="zh-CN"/>
        </w:rPr>
        <w:t>供应商</w:t>
      </w:r>
      <w:r>
        <w:rPr>
          <w:rFonts w:hint="eastAsia" w:ascii="宋体" w:hAnsi="宋体" w:eastAsia="宋体" w:cs="宋体"/>
          <w:i w:val="0"/>
          <w:iCs w:val="0"/>
          <w:caps w:val="0"/>
          <w:color w:val="auto"/>
          <w:spacing w:val="0"/>
          <w:sz w:val="24"/>
          <w:szCs w:val="24"/>
          <w:highlight w:val="none"/>
          <w:shd w:val="clear"/>
          <w:lang w:val="zh-CN"/>
        </w:rPr>
        <w:t>应充分考虑营业税调整为增值税所带来的影响，</w:t>
      </w:r>
      <w:r>
        <w:rPr>
          <w:rFonts w:hint="eastAsia" w:ascii="宋体" w:hAnsi="宋体" w:eastAsia="宋体" w:cs="宋体"/>
          <w:i w:val="0"/>
          <w:iCs w:val="0"/>
          <w:caps w:val="0"/>
          <w:color w:val="auto"/>
          <w:spacing w:val="0"/>
          <w:sz w:val="24"/>
          <w:szCs w:val="24"/>
          <w:highlight w:val="none"/>
          <w:shd w:val="clear"/>
          <w:lang w:val="en-US" w:eastAsia="zh-CN"/>
        </w:rPr>
        <w:t>采购</w:t>
      </w:r>
      <w:r>
        <w:rPr>
          <w:rFonts w:hint="eastAsia" w:ascii="宋体" w:hAnsi="宋体" w:eastAsia="宋体" w:cs="宋体"/>
          <w:i w:val="0"/>
          <w:iCs w:val="0"/>
          <w:caps w:val="0"/>
          <w:color w:val="auto"/>
          <w:spacing w:val="0"/>
          <w:sz w:val="24"/>
          <w:szCs w:val="24"/>
          <w:highlight w:val="none"/>
          <w:shd w:val="clear"/>
          <w:lang w:val="zh-CN"/>
        </w:rPr>
        <w:t>人不会因为该原因调整合同总价。</w:t>
      </w:r>
    </w:p>
    <w:p w14:paraId="369FE173">
      <w:pPr>
        <w:keepNext w:val="0"/>
        <w:keepLines w:val="0"/>
        <w:pageBreakBefore w:val="0"/>
        <w:widowControl/>
        <w:numPr>
          <w:ilvl w:val="-1"/>
          <w:numId w:val="0"/>
        </w:numPr>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宋体" w:eastAsia="宋体" w:cs="宋体"/>
          <w:i w:val="0"/>
          <w:iCs w:val="0"/>
          <w:caps w:val="0"/>
          <w:color w:val="auto"/>
          <w:spacing w:val="0"/>
          <w:sz w:val="24"/>
          <w:szCs w:val="24"/>
          <w:highlight w:val="none"/>
          <w:shd w:val="clear"/>
          <w:lang w:val="zh-CN"/>
        </w:rPr>
      </w:pPr>
      <w:r>
        <w:rPr>
          <w:rFonts w:hint="eastAsia" w:ascii="宋体" w:hAnsi="宋体" w:eastAsia="宋体" w:cs="宋体"/>
          <w:i w:val="0"/>
          <w:iCs w:val="0"/>
          <w:caps w:val="0"/>
          <w:color w:val="auto"/>
          <w:spacing w:val="0"/>
          <w:sz w:val="24"/>
          <w:szCs w:val="24"/>
          <w:highlight w:val="none"/>
          <w:shd w:val="clear"/>
          <w:lang w:val="en-US" w:eastAsia="zh-CN"/>
        </w:rPr>
        <w:t>3.供应商</w:t>
      </w:r>
      <w:r>
        <w:rPr>
          <w:rFonts w:hint="eastAsia" w:ascii="宋体" w:hAnsi="宋体" w:eastAsia="宋体" w:cs="宋体"/>
          <w:i w:val="0"/>
          <w:iCs w:val="0"/>
          <w:caps w:val="0"/>
          <w:color w:val="auto"/>
          <w:spacing w:val="0"/>
          <w:sz w:val="24"/>
          <w:szCs w:val="24"/>
          <w:highlight w:val="none"/>
          <w:shd w:val="clear"/>
          <w:lang w:val="zh-CN"/>
        </w:rPr>
        <w:t>应无条件地服从</w:t>
      </w:r>
      <w:r>
        <w:rPr>
          <w:rFonts w:hint="eastAsia" w:ascii="宋体" w:hAnsi="宋体" w:eastAsia="宋体" w:cs="宋体"/>
          <w:i w:val="0"/>
          <w:iCs w:val="0"/>
          <w:caps w:val="0"/>
          <w:color w:val="auto"/>
          <w:spacing w:val="0"/>
          <w:sz w:val="24"/>
          <w:szCs w:val="24"/>
          <w:highlight w:val="none"/>
          <w:shd w:val="clear"/>
          <w:lang w:val="en-US" w:eastAsia="zh-CN"/>
        </w:rPr>
        <w:t>采购人</w:t>
      </w:r>
      <w:r>
        <w:rPr>
          <w:rFonts w:hint="eastAsia" w:ascii="宋体" w:hAnsi="宋体" w:eastAsia="宋体" w:cs="宋体"/>
          <w:i w:val="0"/>
          <w:iCs w:val="0"/>
          <w:caps w:val="0"/>
          <w:color w:val="auto"/>
          <w:spacing w:val="0"/>
          <w:sz w:val="24"/>
          <w:szCs w:val="24"/>
          <w:highlight w:val="none"/>
          <w:shd w:val="clear"/>
          <w:lang w:val="zh-CN"/>
        </w:rPr>
        <w:t>的总体协调安排，按照</w:t>
      </w:r>
      <w:r>
        <w:rPr>
          <w:rFonts w:hint="eastAsia" w:ascii="宋体" w:hAnsi="宋体" w:eastAsia="宋体" w:cs="宋体"/>
          <w:i w:val="0"/>
          <w:iCs w:val="0"/>
          <w:caps w:val="0"/>
          <w:color w:val="auto"/>
          <w:spacing w:val="0"/>
          <w:sz w:val="24"/>
          <w:szCs w:val="24"/>
          <w:highlight w:val="none"/>
          <w:shd w:val="clear"/>
          <w:lang w:val="en-US" w:eastAsia="zh-CN"/>
        </w:rPr>
        <w:t>采购人</w:t>
      </w:r>
      <w:r>
        <w:rPr>
          <w:rFonts w:hint="eastAsia" w:ascii="宋体" w:hAnsi="宋体" w:eastAsia="宋体" w:cs="宋体"/>
          <w:i w:val="0"/>
          <w:iCs w:val="0"/>
          <w:caps w:val="0"/>
          <w:color w:val="auto"/>
          <w:spacing w:val="0"/>
          <w:sz w:val="24"/>
          <w:szCs w:val="24"/>
          <w:highlight w:val="none"/>
          <w:shd w:val="clear"/>
          <w:lang w:val="zh-CN"/>
        </w:rPr>
        <w:t>的指令做好与相关单位的沟通、协调及配合等工作，为此发生的一切相关费用，包含在投标报价中，</w:t>
      </w:r>
      <w:r>
        <w:rPr>
          <w:rFonts w:hint="eastAsia" w:ascii="宋体" w:hAnsi="宋体" w:eastAsia="宋体" w:cs="宋体"/>
          <w:i w:val="0"/>
          <w:iCs w:val="0"/>
          <w:caps w:val="0"/>
          <w:color w:val="auto"/>
          <w:spacing w:val="0"/>
          <w:sz w:val="24"/>
          <w:szCs w:val="24"/>
          <w:highlight w:val="none"/>
          <w:shd w:val="clear"/>
          <w:lang w:val="en-US" w:eastAsia="zh-CN"/>
        </w:rPr>
        <w:t>采购人</w:t>
      </w:r>
      <w:r>
        <w:rPr>
          <w:rFonts w:hint="eastAsia" w:ascii="宋体" w:hAnsi="宋体" w:eastAsia="宋体" w:cs="宋体"/>
          <w:i w:val="0"/>
          <w:iCs w:val="0"/>
          <w:caps w:val="0"/>
          <w:color w:val="auto"/>
          <w:spacing w:val="0"/>
          <w:sz w:val="24"/>
          <w:szCs w:val="24"/>
          <w:highlight w:val="none"/>
          <w:shd w:val="clear"/>
          <w:lang w:val="zh-CN"/>
        </w:rPr>
        <w:t>不另行支付。</w:t>
      </w:r>
    </w:p>
    <w:p w14:paraId="4098A689">
      <w:pPr>
        <w:keepNext w:val="0"/>
        <w:keepLines w:val="0"/>
        <w:pageBreakBefore w:val="0"/>
        <w:widowControl/>
        <w:numPr>
          <w:ilvl w:val="-1"/>
          <w:numId w:val="0"/>
        </w:numPr>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宋体" w:eastAsia="宋体" w:cs="宋体"/>
          <w:i w:val="0"/>
          <w:iCs w:val="0"/>
          <w:caps w:val="0"/>
          <w:color w:val="auto"/>
          <w:spacing w:val="0"/>
          <w:sz w:val="24"/>
          <w:szCs w:val="24"/>
          <w:highlight w:val="none"/>
          <w:shd w:val="clear"/>
          <w:lang w:val="zh-CN"/>
        </w:rPr>
      </w:pPr>
      <w:r>
        <w:rPr>
          <w:rFonts w:hint="eastAsia" w:ascii="宋体" w:hAnsi="宋体" w:eastAsia="宋体" w:cs="宋体"/>
          <w:i w:val="0"/>
          <w:iCs w:val="0"/>
          <w:caps w:val="0"/>
          <w:color w:val="auto"/>
          <w:spacing w:val="0"/>
          <w:sz w:val="24"/>
          <w:szCs w:val="24"/>
          <w:highlight w:val="none"/>
          <w:shd w:val="clear"/>
          <w:lang w:val="en-US" w:eastAsia="zh-CN"/>
        </w:rPr>
        <w:t>4.</w:t>
      </w:r>
      <w:r>
        <w:rPr>
          <w:rFonts w:hint="eastAsia" w:ascii="宋体" w:hAnsi="宋体" w:eastAsia="宋体" w:cs="宋体"/>
          <w:i w:val="0"/>
          <w:iCs w:val="0"/>
          <w:caps w:val="0"/>
          <w:color w:val="auto"/>
          <w:spacing w:val="0"/>
          <w:sz w:val="24"/>
          <w:szCs w:val="24"/>
          <w:highlight w:val="none"/>
          <w:shd w:val="clear"/>
          <w:lang w:val="zh-CN"/>
        </w:rPr>
        <w:t>本项目</w:t>
      </w:r>
      <w:r>
        <w:rPr>
          <w:rFonts w:hint="eastAsia" w:ascii="宋体" w:hAnsi="宋体" w:eastAsia="宋体" w:cs="宋体"/>
          <w:i w:val="0"/>
          <w:iCs w:val="0"/>
          <w:caps w:val="0"/>
          <w:color w:val="auto"/>
          <w:spacing w:val="0"/>
          <w:sz w:val="24"/>
          <w:szCs w:val="24"/>
          <w:highlight w:val="none"/>
          <w:shd w:val="clear"/>
          <w:lang w:val="en-US" w:eastAsia="zh-CN"/>
        </w:rPr>
        <w:t>采购</w:t>
      </w:r>
      <w:r>
        <w:rPr>
          <w:rFonts w:hint="eastAsia" w:ascii="宋体" w:hAnsi="宋体" w:eastAsia="宋体" w:cs="宋体"/>
          <w:i w:val="0"/>
          <w:iCs w:val="0"/>
          <w:caps w:val="0"/>
          <w:color w:val="auto"/>
          <w:spacing w:val="0"/>
          <w:sz w:val="24"/>
          <w:szCs w:val="24"/>
          <w:highlight w:val="none"/>
          <w:shd w:val="clear"/>
          <w:lang w:val="zh-CN"/>
        </w:rPr>
        <w:t>人不提供任何设施与物品，</w:t>
      </w:r>
      <w:r>
        <w:rPr>
          <w:rFonts w:hint="eastAsia" w:ascii="宋体" w:hAnsi="宋体" w:eastAsia="宋体" w:cs="宋体"/>
          <w:i w:val="0"/>
          <w:iCs w:val="0"/>
          <w:caps w:val="0"/>
          <w:color w:val="auto"/>
          <w:spacing w:val="0"/>
          <w:sz w:val="24"/>
          <w:szCs w:val="24"/>
          <w:highlight w:val="none"/>
          <w:shd w:val="clear"/>
          <w:lang w:val="en-US" w:eastAsia="zh-CN"/>
        </w:rPr>
        <w:t>供应商驻场人员</w:t>
      </w:r>
      <w:r>
        <w:rPr>
          <w:rFonts w:hint="eastAsia" w:ascii="宋体" w:hAnsi="宋体" w:eastAsia="宋体" w:cs="宋体"/>
          <w:i w:val="0"/>
          <w:iCs w:val="0"/>
          <w:caps w:val="0"/>
          <w:color w:val="auto"/>
          <w:spacing w:val="0"/>
          <w:sz w:val="24"/>
          <w:szCs w:val="24"/>
          <w:highlight w:val="none"/>
          <w:shd w:val="clear"/>
          <w:lang w:val="zh-CN"/>
        </w:rPr>
        <w:t>的现场生活、办公用房，办公、生活设施以及交通、水电、通讯等问题由</w:t>
      </w:r>
      <w:r>
        <w:rPr>
          <w:rFonts w:hint="eastAsia" w:ascii="宋体" w:hAnsi="宋体" w:eastAsia="宋体" w:cs="宋体"/>
          <w:i w:val="0"/>
          <w:iCs w:val="0"/>
          <w:caps w:val="0"/>
          <w:color w:val="auto"/>
          <w:spacing w:val="0"/>
          <w:sz w:val="24"/>
          <w:szCs w:val="24"/>
          <w:highlight w:val="none"/>
          <w:shd w:val="clear"/>
          <w:lang w:val="en-US" w:eastAsia="zh-CN"/>
        </w:rPr>
        <w:t>供应商</w:t>
      </w:r>
      <w:r>
        <w:rPr>
          <w:rFonts w:hint="eastAsia" w:ascii="宋体" w:hAnsi="宋体" w:eastAsia="宋体" w:cs="宋体"/>
          <w:i w:val="0"/>
          <w:iCs w:val="0"/>
          <w:caps w:val="0"/>
          <w:color w:val="auto"/>
          <w:spacing w:val="0"/>
          <w:sz w:val="24"/>
          <w:szCs w:val="24"/>
          <w:highlight w:val="none"/>
          <w:shd w:val="clear"/>
          <w:lang w:val="zh-CN"/>
        </w:rPr>
        <w:t>自行考虑并承担相应费用。</w:t>
      </w:r>
    </w:p>
    <w:p w14:paraId="6416503C">
      <w:pPr>
        <w:keepNext w:val="0"/>
        <w:keepLines w:val="0"/>
        <w:pageBreakBefore w:val="0"/>
        <w:widowControl/>
        <w:numPr>
          <w:ilvl w:val="0"/>
          <w:numId w:val="0"/>
        </w:numPr>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（三）</w:t>
      </w:r>
      <w:r>
        <w:rPr>
          <w:rFonts w:hint="eastAsia" w:ascii="宋体" w:hAnsi="宋体" w:eastAsia="宋体" w:cs="宋体"/>
          <w:b w:val="0"/>
          <w:bCs w:val="0"/>
          <w:color w:val="auto"/>
          <w:sz w:val="24"/>
          <w:szCs w:val="24"/>
          <w:highlight w:val="none"/>
        </w:rPr>
        <w:t>付款方式</w:t>
      </w:r>
    </w:p>
    <w:p w14:paraId="373B8B7E">
      <w:pPr>
        <w:keepNext w:val="0"/>
        <w:keepLines w:val="0"/>
        <w:pageBreakBefore w:val="0"/>
        <w:widowControl/>
        <w:tabs>
          <w:tab w:val="left" w:pos="6930"/>
        </w:tabs>
        <w:kinsoku/>
        <w:wordWrap/>
        <w:overflowPunct/>
        <w:topLinePunct w:val="0"/>
        <w:autoSpaceDE/>
        <w:autoSpaceDN/>
        <w:bidi w:val="0"/>
        <w:adjustRightInd/>
        <w:snapToGrid w:val="0"/>
        <w:spacing w:beforeAutospacing="0" w:afterAutospacing="0" w:line="360" w:lineRule="auto"/>
        <w:ind w:firstLine="480" w:firstLineChars="200"/>
        <w:textAlignment w:val="auto"/>
        <w:rPr>
          <w:rFonts w:hint="eastAsia" w:ascii="宋体" w:hAnsi="宋体" w:eastAsia="宋体" w:cs="宋体"/>
          <w:i w:val="0"/>
          <w:iCs w:val="0"/>
          <w:caps w:val="0"/>
          <w:color w:val="auto"/>
          <w:spacing w:val="0"/>
          <w:sz w:val="24"/>
          <w:szCs w:val="24"/>
          <w:highlight w:val="none"/>
          <w:shd w:val="clear"/>
        </w:rPr>
      </w:pPr>
      <w:r>
        <w:rPr>
          <w:rFonts w:hint="eastAsia" w:ascii="宋体" w:hAnsi="宋体" w:eastAsia="宋体" w:cs="宋体"/>
          <w:i w:val="0"/>
          <w:iCs w:val="0"/>
          <w:caps w:val="0"/>
          <w:color w:val="auto"/>
          <w:spacing w:val="0"/>
          <w:sz w:val="24"/>
          <w:szCs w:val="24"/>
          <w:highlight w:val="none"/>
          <w:shd w:val="clear"/>
        </w:rPr>
        <w:t>安全环保咨询服务一年后支付合同价的50%，服务期满且工程交工验收合格后付清余款。</w:t>
      </w:r>
    </w:p>
    <w:p w14:paraId="7E4E260E">
      <w:pPr>
        <w:keepNext w:val="0"/>
        <w:keepLines w:val="0"/>
        <w:pageBreakBefore w:val="0"/>
        <w:widowControl/>
        <w:tabs>
          <w:tab w:val="left" w:pos="6930"/>
        </w:tabs>
        <w:kinsoku/>
        <w:wordWrap/>
        <w:overflowPunct/>
        <w:topLinePunct w:val="0"/>
        <w:autoSpaceDE/>
        <w:autoSpaceDN/>
        <w:bidi w:val="0"/>
        <w:adjustRightInd/>
        <w:snapToGrid w:val="0"/>
        <w:spacing w:beforeAutospacing="0" w:afterAutospacing="0" w:line="360" w:lineRule="auto"/>
        <w:ind w:firstLine="480" w:firstLineChars="200"/>
        <w:textAlignment w:val="auto"/>
        <w:rPr>
          <w:rFonts w:hint="eastAsia" w:ascii="宋体" w:hAnsi="宋体" w:eastAsia="宋体" w:cs="宋体"/>
          <w:i w:val="0"/>
          <w:iCs w:val="0"/>
          <w:caps w:val="0"/>
          <w:color w:val="auto"/>
          <w:spacing w:val="0"/>
          <w:sz w:val="24"/>
          <w:szCs w:val="24"/>
          <w:highlight w:val="none"/>
          <w:shd w:val="clear"/>
          <w:lang w:val="en-US" w:eastAsia="zh-CN"/>
        </w:rPr>
      </w:pPr>
      <w:r>
        <w:rPr>
          <w:rFonts w:hint="eastAsia" w:ascii="宋体" w:hAnsi="宋体" w:eastAsia="宋体" w:cs="宋体"/>
          <w:i w:val="0"/>
          <w:iCs w:val="0"/>
          <w:caps w:val="0"/>
          <w:color w:val="auto"/>
          <w:spacing w:val="0"/>
          <w:sz w:val="24"/>
          <w:szCs w:val="24"/>
          <w:highlight w:val="none"/>
          <w:shd w:val="clear"/>
          <w:lang w:val="en-US" w:eastAsia="zh-CN"/>
        </w:rPr>
        <w:t>本项目付款单位为启东安瑞达开发建设有限公司。</w:t>
      </w:r>
    </w:p>
    <w:p w14:paraId="66E38D44">
      <w:pPr>
        <w:keepNext w:val="0"/>
        <w:keepLines w:val="0"/>
        <w:pageBreakBefore w:val="0"/>
        <w:widowControl/>
        <w:tabs>
          <w:tab w:val="left" w:pos="6930"/>
        </w:tabs>
        <w:kinsoku/>
        <w:wordWrap/>
        <w:overflowPunct/>
        <w:topLinePunct w:val="0"/>
        <w:autoSpaceDE/>
        <w:autoSpaceDN/>
        <w:bidi w:val="0"/>
        <w:adjustRightInd/>
        <w:snapToGrid w:val="0"/>
        <w:spacing w:beforeAutospacing="0" w:afterAutospacing="0" w:line="360" w:lineRule="auto"/>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i w:val="0"/>
          <w:iCs w:val="0"/>
          <w:caps w:val="0"/>
          <w:color w:val="auto"/>
          <w:spacing w:val="0"/>
          <w:sz w:val="24"/>
          <w:szCs w:val="24"/>
          <w:highlight w:val="none"/>
          <w:shd w:val="clear"/>
          <w:lang w:val="en-US" w:eastAsia="zh-CN"/>
        </w:rPr>
        <w:t>注：</w:t>
      </w:r>
      <w:r>
        <w:rPr>
          <w:rFonts w:hint="eastAsia" w:ascii="宋体" w:hAnsi="宋体" w:cs="宋体"/>
          <w:i w:val="0"/>
          <w:iCs w:val="0"/>
          <w:caps w:val="0"/>
          <w:color w:val="auto"/>
          <w:spacing w:val="0"/>
          <w:sz w:val="24"/>
          <w:szCs w:val="24"/>
          <w:highlight w:val="none"/>
          <w:shd w:val="clear"/>
          <w:lang w:val="en-US" w:eastAsia="zh-CN"/>
        </w:rPr>
        <w:t>成交供应商</w:t>
      </w:r>
      <w:r>
        <w:rPr>
          <w:rFonts w:hint="eastAsia" w:ascii="宋体" w:hAnsi="宋体" w:eastAsia="宋体" w:cs="宋体"/>
          <w:i w:val="0"/>
          <w:iCs w:val="0"/>
          <w:caps w:val="0"/>
          <w:color w:val="auto"/>
          <w:spacing w:val="0"/>
          <w:sz w:val="24"/>
          <w:szCs w:val="24"/>
          <w:highlight w:val="none"/>
          <w:shd w:val="clear"/>
          <w:lang w:val="en-US" w:eastAsia="zh-CN"/>
        </w:rPr>
        <w:t>未按时提供增值税发票的，</w:t>
      </w:r>
      <w:r>
        <w:rPr>
          <w:rFonts w:hint="eastAsia" w:ascii="宋体" w:hAnsi="宋体" w:cs="宋体"/>
          <w:i w:val="0"/>
          <w:iCs w:val="0"/>
          <w:caps w:val="0"/>
          <w:color w:val="auto"/>
          <w:spacing w:val="0"/>
          <w:sz w:val="24"/>
          <w:szCs w:val="24"/>
          <w:highlight w:val="none"/>
          <w:shd w:val="clear"/>
          <w:lang w:val="en-US" w:eastAsia="zh-CN"/>
        </w:rPr>
        <w:t>采购人</w:t>
      </w:r>
      <w:r>
        <w:rPr>
          <w:rFonts w:hint="eastAsia" w:ascii="宋体" w:hAnsi="宋体" w:eastAsia="宋体" w:cs="宋体"/>
          <w:i w:val="0"/>
          <w:iCs w:val="0"/>
          <w:caps w:val="0"/>
          <w:color w:val="auto"/>
          <w:spacing w:val="0"/>
          <w:sz w:val="24"/>
          <w:szCs w:val="24"/>
          <w:highlight w:val="none"/>
          <w:shd w:val="clear"/>
          <w:lang w:val="en-US" w:eastAsia="zh-CN"/>
        </w:rPr>
        <w:t>有权不予付款，且不承担任何逾期付款责任（包括但不限于违约金、逾期付款损失等）。</w:t>
      </w:r>
    </w:p>
    <w:p w14:paraId="6E580334">
      <w:pPr>
        <w:keepNext w:val="0"/>
        <w:keepLines w:val="0"/>
        <w:pageBreakBefore w:val="0"/>
        <w:widowControl/>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四</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履约保证金</w:t>
      </w:r>
    </w:p>
    <w:p w14:paraId="3FAEC942">
      <w:pPr>
        <w:keepNext w:val="0"/>
        <w:keepLines w:val="0"/>
        <w:pageBreakBefore w:val="0"/>
        <w:numPr>
          <w:ilvl w:val="0"/>
          <w:numId w:val="0"/>
        </w:numPr>
        <w:kinsoku/>
        <w:wordWrap/>
        <w:overflowPunct/>
        <w:topLinePunct w:val="0"/>
        <w:autoSpaceDE/>
        <w:autoSpaceDN/>
        <w:bidi w:val="0"/>
        <w:snapToGrid w:val="0"/>
        <w:spacing w:line="360" w:lineRule="auto"/>
        <w:ind w:firstLine="480" w:firstLineChars="200"/>
        <w:textAlignment w:val="auto"/>
        <w:outlineLvl w:val="1"/>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1.</w:t>
      </w:r>
      <w:r>
        <w:rPr>
          <w:rFonts w:hint="eastAsia" w:ascii="宋体" w:hAnsi="宋体" w:eastAsia="宋体" w:cs="宋体"/>
          <w:color w:val="auto"/>
          <w:sz w:val="24"/>
          <w:szCs w:val="24"/>
          <w:highlight w:val="none"/>
        </w:rPr>
        <w:t>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0001666F">
      <w:pPr>
        <w:keepNext w:val="0"/>
        <w:keepLines w:val="0"/>
        <w:pageBreakBefore w:val="0"/>
        <w:numPr>
          <w:ilvl w:val="0"/>
          <w:numId w:val="0"/>
        </w:numPr>
        <w:kinsoku/>
        <w:wordWrap/>
        <w:overflowPunct/>
        <w:topLinePunct w:val="0"/>
        <w:autoSpaceDE/>
        <w:autoSpaceDN/>
        <w:bidi w:val="0"/>
        <w:snapToGrid w:val="0"/>
        <w:spacing w:line="360" w:lineRule="auto"/>
        <w:ind w:firstLine="480" w:firstLineChars="200"/>
        <w:textAlignment w:val="auto"/>
        <w:outlineLvl w:val="1"/>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rPr>
        <w:t>成交供应商全部履约合同义务，经采购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验收合格无质量、进度等问题的，采购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在验收合格后一次性退还履约保证金，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若逾期退还履约保证金的，按照逾期部分的每日0.05%支付违约金。</w:t>
      </w:r>
    </w:p>
    <w:p w14:paraId="06E23C5E">
      <w:pPr>
        <w:keepNext w:val="0"/>
        <w:keepLines w:val="0"/>
        <w:pageBreakBefore w:val="0"/>
        <w:numPr>
          <w:ilvl w:val="0"/>
          <w:numId w:val="0"/>
        </w:numPr>
        <w:kinsoku/>
        <w:wordWrap/>
        <w:overflowPunct/>
        <w:topLinePunct w:val="0"/>
        <w:autoSpaceDE/>
        <w:autoSpaceDN/>
        <w:bidi w:val="0"/>
        <w:snapToGrid w:val="0"/>
        <w:spacing w:line="360" w:lineRule="auto"/>
        <w:ind w:firstLine="480" w:firstLineChars="200"/>
        <w:textAlignment w:val="auto"/>
        <w:outlineLvl w:val="1"/>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发生以下情况的，履约保证金不予退还或部分退还：</w:t>
      </w:r>
    </w:p>
    <w:p w14:paraId="09CC7915">
      <w:pPr>
        <w:keepNext w:val="0"/>
        <w:keepLines w:val="0"/>
        <w:pageBreakBefore w:val="0"/>
        <w:numPr>
          <w:ilvl w:val="0"/>
          <w:numId w:val="0"/>
        </w:numPr>
        <w:kinsoku/>
        <w:wordWrap/>
        <w:overflowPunct/>
        <w:topLinePunct w:val="0"/>
        <w:autoSpaceDE/>
        <w:autoSpaceDN/>
        <w:bidi w:val="0"/>
        <w:snapToGrid w:val="0"/>
        <w:spacing w:line="360" w:lineRule="auto"/>
        <w:ind w:firstLine="480" w:firstLineChars="200"/>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a.签订合同后，成交供应商不履行合同义务的，采购单位有权全额扣除履约保证金，全额不予退还，同时采购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亦有权终止合同，成交供应商还须承担相应的法律赔偿责任。</w:t>
      </w:r>
    </w:p>
    <w:p w14:paraId="4CEC37C7">
      <w:pPr>
        <w:keepNext w:val="0"/>
        <w:keepLines w:val="0"/>
        <w:pageBreakBefore w:val="0"/>
        <w:numPr>
          <w:ilvl w:val="0"/>
          <w:numId w:val="0"/>
        </w:numPr>
        <w:kinsoku/>
        <w:wordWrap/>
        <w:overflowPunct/>
        <w:topLinePunct w:val="0"/>
        <w:autoSpaceDE/>
        <w:autoSpaceDN/>
        <w:bidi w:val="0"/>
        <w:snapToGrid w:val="0"/>
        <w:spacing w:line="360" w:lineRule="auto"/>
        <w:ind w:firstLine="480" w:firstLineChars="200"/>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b.成交供应商在履约过程中发生违约行为，给采购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造成损失的，采购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有权在成交供应商缴纳的履约保证金中予以扣款，以弥补采购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经济损失，不足的部分成交供应商另外补齐。</w:t>
      </w:r>
    </w:p>
    <w:p w14:paraId="6F8B78DF">
      <w:pPr>
        <w:keepNext w:val="0"/>
        <w:keepLines w:val="0"/>
        <w:pageBreakBefore w:val="0"/>
        <w:numPr>
          <w:ilvl w:val="0"/>
          <w:numId w:val="0"/>
        </w:numPr>
        <w:kinsoku/>
        <w:wordWrap/>
        <w:overflowPunct/>
        <w:topLinePunct w:val="0"/>
        <w:autoSpaceDE/>
        <w:autoSpaceDN/>
        <w:bidi w:val="0"/>
        <w:snapToGrid w:val="0"/>
        <w:spacing w:line="360" w:lineRule="auto"/>
        <w:ind w:firstLine="480" w:firstLineChars="200"/>
        <w:textAlignment w:val="auto"/>
        <w:outlineLvl w:val="1"/>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1445481E">
      <w:pPr>
        <w:keepNext w:val="0"/>
        <w:keepLines w:val="0"/>
        <w:pageBreakBefore w:val="0"/>
        <w:numPr>
          <w:ilvl w:val="0"/>
          <w:numId w:val="0"/>
        </w:numPr>
        <w:kinsoku/>
        <w:wordWrap/>
        <w:overflowPunct/>
        <w:topLinePunct w:val="0"/>
        <w:autoSpaceDE/>
        <w:autoSpaceDN/>
        <w:bidi w:val="0"/>
        <w:snapToGrid w:val="0"/>
        <w:spacing w:line="360" w:lineRule="auto"/>
        <w:ind w:firstLine="480" w:firstLineChars="200"/>
        <w:textAlignment w:val="auto"/>
        <w:outlineLvl w:val="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三、合同条款</w:t>
      </w:r>
    </w:p>
    <w:p w14:paraId="660A7883">
      <w:pPr>
        <w:adjustRightInd w:val="0"/>
        <w:snapToGrid w:val="0"/>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项目名称：</w:t>
      </w:r>
      <w:r>
        <w:rPr>
          <w:rFonts w:hint="eastAsia" w:ascii="宋体" w:hAnsi="宋体" w:eastAsia="宋体" w:cs="宋体"/>
          <w:color w:val="auto"/>
          <w:sz w:val="24"/>
          <w:szCs w:val="24"/>
          <w:highlight w:val="none"/>
          <w:lang w:eastAsia="zh-CN"/>
        </w:rPr>
        <w:t>北沿江高铁启东西站配套道路（世纪大道西延、启迪路）安全环保咨询服务项目</w:t>
      </w:r>
    </w:p>
    <w:p w14:paraId="2BB91E75">
      <w:pPr>
        <w:keepNext w:val="0"/>
        <w:keepLines w:val="0"/>
        <w:pageBreakBefore w:val="0"/>
        <w:widowControl w:val="0"/>
        <w:kinsoku/>
        <w:wordWrap/>
        <w:overflowPunct/>
        <w:topLinePunct w:val="0"/>
        <w:autoSpaceDE/>
        <w:autoSpaceDN/>
        <w:bidi w:val="0"/>
        <w:adjustRightInd/>
        <w:spacing w:line="460" w:lineRule="exact"/>
        <w:textAlignment w:val="auto"/>
        <w:rPr>
          <w:rFonts w:hint="default" w:ascii="Times New Roman" w:hAnsi="宋体" w:eastAsia="宋体" w:cs="宋体"/>
          <w:color w:val="auto"/>
          <w:sz w:val="28"/>
          <w:szCs w:val="28"/>
          <w:highlight w:val="none"/>
          <w:lang w:val="en-US" w:eastAsia="zh-CN"/>
        </w:rPr>
      </w:pPr>
      <w:r>
        <w:rPr>
          <w:rFonts w:hint="eastAsia" w:ascii="宋体" w:hAnsi="宋体" w:eastAsia="宋体" w:cs="宋体"/>
          <w:color w:val="auto"/>
          <w:sz w:val="24"/>
          <w:highlight w:val="none"/>
        </w:rPr>
        <w:t>甲方：</w:t>
      </w:r>
      <w:r>
        <w:rPr>
          <w:rFonts w:hint="eastAsia" w:ascii="宋体" w:hAnsi="宋体" w:eastAsia="宋体" w:cs="宋体"/>
          <w:color w:val="auto"/>
          <w:sz w:val="24"/>
          <w:highlight w:val="none"/>
          <w:u w:val="single"/>
          <w:lang w:eastAsia="zh-CN"/>
        </w:rPr>
        <w:t>启东市交通事业发展中心</w:t>
      </w:r>
      <w:r>
        <w:rPr>
          <w:rFonts w:hint="eastAsia" w:ascii="宋体" w:hAnsi="宋体" w:cs="宋体"/>
          <w:color w:val="auto"/>
          <w:sz w:val="24"/>
          <w:highlight w:val="none"/>
          <w:u w:val="single"/>
          <w:lang w:eastAsia="zh-CN"/>
        </w:rPr>
        <w:t>、</w:t>
      </w:r>
      <w:r>
        <w:rPr>
          <w:rFonts w:hint="eastAsia" w:ascii="宋体" w:hAnsi="宋体" w:eastAsia="宋体" w:cs="宋体"/>
          <w:color w:val="auto"/>
          <w:sz w:val="24"/>
          <w:highlight w:val="none"/>
          <w:u w:val="single"/>
          <w:lang w:val="en-US" w:eastAsia="zh-CN"/>
        </w:rPr>
        <w:t>启东安瑞达开发建设有限公司</w:t>
      </w:r>
    </w:p>
    <w:p w14:paraId="4C0B4B03">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乙方：_________</w:t>
      </w:r>
    </w:p>
    <w:p w14:paraId="3DFEEFF8">
      <w:pPr>
        <w:adjustRightInd w:val="0"/>
        <w:snapToGrid w:val="0"/>
        <w:spacing w:line="360" w:lineRule="auto"/>
        <w:ind w:firstLine="480" w:firstLineChars="200"/>
        <w:rPr>
          <w:rFonts w:hint="eastAsia" w:ascii="宋体" w:hAnsi="宋体" w:eastAsia="宋体" w:cs="宋体"/>
          <w:b/>
          <w:color w:val="auto"/>
          <w:sz w:val="24"/>
          <w:highlight w:val="none"/>
        </w:rPr>
      </w:pPr>
      <w:r>
        <w:rPr>
          <w:rFonts w:hint="eastAsia" w:ascii="宋体" w:hAnsi="宋体" w:eastAsia="宋体" w:cs="宋体"/>
          <w:color w:val="auto"/>
          <w:sz w:val="24"/>
          <w:highlight w:val="none"/>
        </w:rPr>
        <w:t>甲、乙双方根据</w:t>
      </w:r>
      <w:r>
        <w:rPr>
          <w:rFonts w:hint="eastAsia" w:ascii="宋体" w:hAnsi="宋体" w:eastAsia="宋体" w:cs="宋体"/>
          <w:color w:val="auto"/>
          <w:sz w:val="24"/>
          <w:szCs w:val="24"/>
          <w:highlight w:val="none"/>
          <w:u w:val="single"/>
          <w:lang w:eastAsia="zh-CN"/>
        </w:rPr>
        <w:t>北沿江高铁启东西站配套道路（世纪大道西延、启迪路）安全环保咨询服务项目</w:t>
      </w:r>
      <w:r>
        <w:rPr>
          <w:rFonts w:hint="eastAsia" w:ascii="宋体" w:hAnsi="宋体" w:eastAsia="宋体" w:cs="宋体"/>
          <w:color w:val="auto"/>
          <w:sz w:val="24"/>
          <w:highlight w:val="none"/>
          <w:lang w:val="en-US" w:eastAsia="zh-CN"/>
        </w:rPr>
        <w:t>竞争性磋商</w:t>
      </w:r>
      <w:r>
        <w:rPr>
          <w:rFonts w:hint="eastAsia" w:ascii="宋体" w:hAnsi="宋体" w:eastAsia="宋体" w:cs="宋体"/>
          <w:color w:val="auto"/>
          <w:sz w:val="24"/>
          <w:highlight w:val="none"/>
        </w:rPr>
        <w:t>的结果，签署本合同。</w:t>
      </w:r>
    </w:p>
    <w:p w14:paraId="06A851EE">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一、合同内容</w:t>
      </w:r>
    </w:p>
    <w:p w14:paraId="7A2EF577">
      <w:pPr>
        <w:adjustRightInd w:val="0"/>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1.1标的名称：</w:t>
      </w:r>
      <w:r>
        <w:rPr>
          <w:rFonts w:hint="eastAsia" w:ascii="宋体" w:hAnsi="宋体" w:eastAsia="宋体" w:cs="宋体"/>
          <w:color w:val="auto"/>
          <w:sz w:val="24"/>
          <w:szCs w:val="24"/>
          <w:highlight w:val="none"/>
          <w:lang w:eastAsia="zh-CN"/>
        </w:rPr>
        <w:t>北沿江高铁启东西站配套道路（世纪大道西延、启迪路）安全环保咨询服务项目</w:t>
      </w:r>
    </w:p>
    <w:p w14:paraId="0A3CF100">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1.2标的质量：</w:t>
      </w:r>
    </w:p>
    <w:p w14:paraId="30A477BF">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1.3服务内容：</w:t>
      </w:r>
    </w:p>
    <w:p w14:paraId="359BE12D">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启东世纪大道西延与站前路（启迪路）工程项目开展安全管理及技术咨询服务（含环保），优化提升工程实施工程中的现场安全环保管理工作效能。主要工作内容包括但不限于以下工作：</w:t>
      </w:r>
    </w:p>
    <w:p w14:paraId="53AA6896">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1.安全环保管理</w:t>
      </w:r>
    </w:p>
    <w:p w14:paraId="1AA923A6">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①做好工程开工前安全环保生产条件核查。</w:t>
      </w:r>
    </w:p>
    <w:p w14:paraId="08D0ED4A">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②规范施工、监理单位的安全环保管理行为，每周对施工现场进行安全环保巡查，提交现场安全环保巡查报告，并跟踪督促落实现场整改情况。</w:t>
      </w:r>
    </w:p>
    <w:p w14:paraId="4C49AD9E">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③根据施工方案、施工进度、季节施工的特点及上级有关通知要求，制定安全环保专项检查方案、活动方案，迎接各类专项安全环保检查。</w:t>
      </w:r>
    </w:p>
    <w:p w14:paraId="0FF1FCB8">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④拟定编制安全环保管理制度、安全环保考核等各类安全管理文件，明确安全岗位职责，并对施工、监理单位进行安全环保生产考核。</w:t>
      </w:r>
    </w:p>
    <w:p w14:paraId="034826E8">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⑤审查施工、监理单位编制的专项施工方案，提出书面审查意见，并参加专项施工方案评审。</w:t>
      </w:r>
    </w:p>
    <w:p w14:paraId="645006F0">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⑥参与对系杆拱肋搭设情况进行检查和验收，督促施工单位落实整改措施。</w:t>
      </w:r>
    </w:p>
    <w:p w14:paraId="1CB74F03">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⑦每半年至少组织一次全线安全教育培训，每年度组织应急演练。</w:t>
      </w:r>
    </w:p>
    <w:p w14:paraId="4E0532AB">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⑧建立健全安全风险分级管控机制和隐患排查“双重预防机制”，编制项目重大风险管控和重大事故隐患治理清单；编制项目工程总体安全风险评估报告及综合应急预案，并组织通过专家评审（进场后30日内完成）；协助审查施工单位编制的专项风险评估报告及专项应急预案、现场处置方案。对风险控制措施落实情况进行跟踪检查。</w:t>
      </w:r>
    </w:p>
    <w:p w14:paraId="5351B25B">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⑨协助部署落实国家、地方政府、行业主管部门布置的平安工地建设等安全生产专项工作，按年度制定本项目省级平安工程建设实施方案，明确年度平安工程建设工作计划及工作任务，督促监理、施工单位落实平安工地建设等专项工作。同时，根据当年度省、市级交通运输主管部门的相关要求及工作部署，做好年度省、市级平安工地迎检、验收等工作。</w:t>
      </w:r>
    </w:p>
    <w:p w14:paraId="7E892359">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⑩配合上级主管部门和当地行政主管部门做好对安全环保工作的检查及考核。</w:t>
      </w:r>
    </w:p>
    <w:p w14:paraId="32075909">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⑪参加相关月度安全会议；协助组织召开项目季度安全工作点评会，以ppt形式点评安全工作存在的不足和改进措施，印发建设单位相关安全例会纪要。</w:t>
      </w:r>
    </w:p>
    <w:p w14:paraId="558E178B">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⑫做好对项目安全经费、环保经费的审查工作并记录。</w:t>
      </w:r>
    </w:p>
    <w:p w14:paraId="34778535">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⑬组织项目月度安全环保生产工作例会及其他与安全环保管理相关的会议。</w:t>
      </w:r>
    </w:p>
    <w:p w14:paraId="7B6AFDB0">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⑭对安全环保管理工作进行记录，建立健全安全环保管理工作台账并归档。</w:t>
      </w:r>
    </w:p>
    <w:p w14:paraId="57AFFC7E">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⑮配合相关部门做好生产安全事故的调查分析。</w:t>
      </w:r>
    </w:p>
    <w:p w14:paraId="50F06C43">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⑯结合智慧工地创建要求，协助做好安全信息化管理的创建工作。</w:t>
      </w:r>
    </w:p>
    <w:p w14:paraId="4CF2A274">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⑰其他现场安全环保管理工作。</w:t>
      </w:r>
    </w:p>
    <w:p w14:paraId="5995E94B">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2.技术工作内容</w:t>
      </w:r>
    </w:p>
    <w:p w14:paraId="7267D1A1">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①施工技术指导意见的审查审核编制，安全环保技术交底及培训的组织或主持；</w:t>
      </w:r>
    </w:p>
    <w:p w14:paraId="375CBB3D">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②施工组织、施工技术及施工专项安全等方案的审查与评审；</w:t>
      </w:r>
    </w:p>
    <w:p w14:paraId="22824AF9">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③临时结构设计方案验算复核与评估；</w:t>
      </w:r>
    </w:p>
    <w:p w14:paraId="5BF0BF72">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④现场巡查及指导；</w:t>
      </w:r>
    </w:p>
    <w:p w14:paraId="07E22B0B">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⑤其他需要的技术咨询服务。</w:t>
      </w:r>
    </w:p>
    <w:p w14:paraId="7D4C08D0">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1.4履行时间（期限）：自合同签订之日起至工程交工验收合格之日止（施工计划工期为24个月，具体以施工实际实施时间为准）。</w:t>
      </w:r>
    </w:p>
    <w:p w14:paraId="4E3DD605">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rPr>
        <w:t>1.5履行地点：</w:t>
      </w:r>
      <w:r>
        <w:rPr>
          <w:rFonts w:hint="eastAsia" w:ascii="宋体" w:hAnsi="宋体" w:eastAsia="宋体" w:cs="宋体"/>
          <w:i w:val="0"/>
          <w:iCs w:val="0"/>
          <w:caps w:val="0"/>
          <w:color w:val="auto"/>
          <w:spacing w:val="0"/>
          <w:sz w:val="24"/>
          <w:szCs w:val="24"/>
          <w:highlight w:val="none"/>
          <w:shd w:val="clear" w:color="auto" w:fill="auto"/>
          <w:lang w:val="en-US" w:eastAsia="zh-CN"/>
        </w:rPr>
        <w:t>启东市</w:t>
      </w:r>
    </w:p>
    <w:p w14:paraId="76CD54B2">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二、合同金额</w:t>
      </w:r>
    </w:p>
    <w:p w14:paraId="1F3990A1">
      <w:pPr>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2.1本合同金额为（大写）：_____________________（¥____________）。</w:t>
      </w:r>
    </w:p>
    <w:p w14:paraId="169F80C1">
      <w:pPr>
        <w:adjustRightInd w:val="0"/>
        <w:snapToGrid w:val="0"/>
        <w:spacing w:line="360" w:lineRule="auto"/>
        <w:ind w:firstLine="480" w:firstLineChars="200"/>
        <w:jc w:val="lef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本项目</w:t>
      </w:r>
      <w:r>
        <w:rPr>
          <w:rFonts w:hint="eastAsia" w:ascii="宋体" w:hAnsi="宋体" w:eastAsia="宋体" w:cs="宋体"/>
          <w:bCs/>
          <w:color w:val="auto"/>
          <w:sz w:val="24"/>
          <w:highlight w:val="none"/>
          <w:lang w:val="en-US" w:eastAsia="zh-CN"/>
        </w:rPr>
        <w:t>为</w:t>
      </w:r>
      <w:r>
        <w:rPr>
          <w:rFonts w:hint="eastAsia" w:ascii="宋体" w:hAnsi="宋体" w:eastAsia="宋体" w:cs="宋体"/>
          <w:bCs/>
          <w:color w:val="auto"/>
          <w:sz w:val="24"/>
          <w:highlight w:val="none"/>
          <w:lang w:val="zh-CN"/>
        </w:rPr>
        <w:t>总价包干合同。</w:t>
      </w:r>
      <w:r>
        <w:rPr>
          <w:rFonts w:hint="eastAsia" w:ascii="宋体" w:hAnsi="宋体" w:eastAsia="宋体" w:cs="宋体"/>
          <w:bCs/>
          <w:color w:val="auto"/>
          <w:sz w:val="24"/>
          <w:highlight w:val="none"/>
          <w:lang w:val="en-US" w:eastAsia="zh-CN"/>
        </w:rPr>
        <w:t>合同价</w:t>
      </w:r>
      <w:r>
        <w:rPr>
          <w:rFonts w:hint="eastAsia" w:ascii="宋体" w:hAnsi="宋体" w:eastAsia="宋体" w:cs="宋体"/>
          <w:i w:val="0"/>
          <w:iCs w:val="0"/>
          <w:caps w:val="0"/>
          <w:color w:val="auto"/>
          <w:spacing w:val="0"/>
          <w:sz w:val="24"/>
          <w:szCs w:val="24"/>
          <w:highlight w:val="none"/>
          <w:shd w:val="clear" w:color="auto" w:fill="auto"/>
          <w:lang w:val="zh-CN"/>
        </w:rPr>
        <w:t>包括</w:t>
      </w:r>
      <w:r>
        <w:rPr>
          <w:rFonts w:hint="eastAsia" w:ascii="宋体" w:hAnsi="宋体" w:eastAsia="宋体" w:cs="宋体"/>
          <w:i w:val="0"/>
          <w:iCs w:val="0"/>
          <w:caps w:val="0"/>
          <w:color w:val="auto"/>
          <w:spacing w:val="0"/>
          <w:sz w:val="24"/>
          <w:szCs w:val="24"/>
          <w:highlight w:val="none"/>
          <w:shd w:val="clear" w:color="auto" w:fill="auto"/>
          <w:lang w:val="en-US" w:eastAsia="zh-CN"/>
        </w:rPr>
        <w:t>但不限于</w:t>
      </w:r>
      <w:r>
        <w:rPr>
          <w:rFonts w:hint="eastAsia" w:ascii="宋体" w:hAnsi="宋体" w:eastAsia="宋体" w:cs="宋体"/>
          <w:i w:val="0"/>
          <w:iCs w:val="0"/>
          <w:caps w:val="0"/>
          <w:color w:val="auto"/>
          <w:spacing w:val="0"/>
          <w:sz w:val="24"/>
          <w:szCs w:val="24"/>
          <w:highlight w:val="none"/>
          <w:shd w:val="clear" w:color="auto" w:fill="auto"/>
          <w:lang w:val="zh-CN"/>
        </w:rPr>
        <w:t>人员服务费、差旅费、</w:t>
      </w:r>
      <w:r>
        <w:rPr>
          <w:rFonts w:hint="eastAsia" w:ascii="宋体" w:hAnsi="宋体" w:eastAsia="宋体" w:cs="宋体"/>
          <w:i w:val="0"/>
          <w:iCs w:val="0"/>
          <w:caps w:val="0"/>
          <w:color w:val="auto"/>
          <w:spacing w:val="0"/>
          <w:sz w:val="24"/>
          <w:szCs w:val="24"/>
          <w:highlight w:val="none"/>
          <w:shd w:val="clear" w:color="auto" w:fill="auto"/>
        </w:rPr>
        <w:t>车辆使用费</w:t>
      </w:r>
      <w:r>
        <w:rPr>
          <w:rFonts w:hint="eastAsia" w:ascii="宋体" w:hAnsi="宋体" w:eastAsia="宋体" w:cs="宋体"/>
          <w:i w:val="0"/>
          <w:iCs w:val="0"/>
          <w:caps w:val="0"/>
          <w:color w:val="auto"/>
          <w:spacing w:val="0"/>
          <w:sz w:val="24"/>
          <w:szCs w:val="24"/>
          <w:highlight w:val="none"/>
          <w:shd w:val="clear" w:color="auto" w:fill="auto"/>
          <w:lang w:eastAsia="zh-CN"/>
        </w:rPr>
        <w:t>、</w:t>
      </w:r>
      <w:r>
        <w:rPr>
          <w:rFonts w:hint="eastAsia" w:ascii="宋体" w:hAnsi="宋体" w:eastAsia="宋体" w:cs="宋体"/>
          <w:i w:val="0"/>
          <w:iCs w:val="0"/>
          <w:caps w:val="0"/>
          <w:color w:val="auto"/>
          <w:spacing w:val="0"/>
          <w:sz w:val="24"/>
          <w:szCs w:val="24"/>
          <w:highlight w:val="none"/>
          <w:shd w:val="clear" w:color="auto" w:fill="auto"/>
          <w:lang w:val="zh-CN"/>
        </w:rPr>
        <w:t>办公设备及用品费、</w:t>
      </w:r>
      <w:r>
        <w:rPr>
          <w:rFonts w:hint="eastAsia" w:ascii="宋体" w:hAnsi="宋体" w:eastAsia="宋体" w:cs="宋体"/>
          <w:i w:val="0"/>
          <w:iCs w:val="0"/>
          <w:caps w:val="0"/>
          <w:color w:val="auto"/>
          <w:spacing w:val="0"/>
          <w:sz w:val="24"/>
          <w:szCs w:val="24"/>
          <w:highlight w:val="none"/>
          <w:shd w:val="clear" w:color="auto" w:fill="auto"/>
          <w:lang w:val="en-US" w:eastAsia="zh-CN"/>
        </w:rPr>
        <w:t>专家评审费（如有）、会务费（如有）、</w:t>
      </w:r>
      <w:r>
        <w:rPr>
          <w:rFonts w:hint="eastAsia" w:ascii="宋体" w:hAnsi="宋体" w:eastAsia="宋体" w:cs="宋体"/>
          <w:i w:val="0"/>
          <w:iCs w:val="0"/>
          <w:caps w:val="0"/>
          <w:color w:val="auto"/>
          <w:spacing w:val="0"/>
          <w:sz w:val="24"/>
          <w:szCs w:val="24"/>
          <w:highlight w:val="none"/>
          <w:shd w:val="clear" w:color="auto" w:fill="auto"/>
          <w:lang w:val="zh-CN"/>
        </w:rPr>
        <w:t>材料印刷费、规费、税金、保险、利润等与履行合同有关的一切费用以及所有一般风险责任和义务费用。在合同实施期间，该费用不随国家政策或法规、标准及市场因素等的变化而进行调整</w:t>
      </w:r>
      <w:r>
        <w:rPr>
          <w:rFonts w:hint="eastAsia" w:ascii="宋体" w:hAnsi="宋体" w:eastAsia="宋体" w:cs="宋体"/>
          <w:bCs/>
          <w:color w:val="auto"/>
          <w:sz w:val="24"/>
          <w:highlight w:val="none"/>
          <w:lang w:val="zh-CN"/>
        </w:rPr>
        <w:t>。</w:t>
      </w:r>
    </w:p>
    <w:p w14:paraId="2C469A34">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三、技术资料</w:t>
      </w:r>
    </w:p>
    <w:p w14:paraId="2F52F69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3.1乙方应按</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文件规定的时间向甲方提供与合同标的有关的技术资料。</w:t>
      </w:r>
    </w:p>
    <w:p w14:paraId="7BE727B8">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621B61B">
      <w:pPr>
        <w:numPr>
          <w:ilvl w:val="0"/>
          <w:numId w:val="4"/>
        </w:numPr>
        <w:adjustRightInd w:val="0"/>
        <w:snapToGrid w:val="0"/>
        <w:spacing w:line="360" w:lineRule="auto"/>
        <w:ind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其他</w:t>
      </w:r>
      <w:r>
        <w:rPr>
          <w:rFonts w:hint="eastAsia" w:ascii="宋体" w:hAnsi="宋体" w:eastAsia="宋体" w:cs="宋体"/>
          <w:b/>
          <w:color w:val="auto"/>
          <w:sz w:val="24"/>
          <w:highlight w:val="none"/>
        </w:rPr>
        <w:t>要求</w:t>
      </w:r>
    </w:p>
    <w:p w14:paraId="12367EE3">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lang w:val="en-US" w:eastAsia="zh-CN"/>
        </w:rPr>
        <w:t>4.1</w:t>
      </w:r>
      <w:r>
        <w:rPr>
          <w:rFonts w:hint="eastAsia" w:ascii="宋体" w:hAnsi="宋体" w:eastAsia="宋体" w:cs="宋体"/>
          <w:i w:val="0"/>
          <w:iCs w:val="0"/>
          <w:caps w:val="0"/>
          <w:color w:val="auto"/>
          <w:spacing w:val="0"/>
          <w:sz w:val="24"/>
          <w:szCs w:val="24"/>
          <w:highlight w:val="none"/>
          <w:shd w:val="clear" w:color="auto" w:fill="auto"/>
        </w:rPr>
        <w:t>驻场人员要求</w:t>
      </w:r>
    </w:p>
    <w:p w14:paraId="1803799B">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项目驻场服务人员1人（即项目负责人），参与</w:t>
      </w:r>
      <w:r>
        <w:rPr>
          <w:rFonts w:hint="eastAsia" w:ascii="宋体" w:hAnsi="宋体" w:eastAsia="宋体" w:cs="宋体"/>
          <w:i w:val="0"/>
          <w:iCs w:val="0"/>
          <w:caps w:val="0"/>
          <w:color w:val="auto"/>
          <w:spacing w:val="0"/>
          <w:sz w:val="24"/>
          <w:szCs w:val="24"/>
          <w:highlight w:val="none"/>
          <w:shd w:val="clear" w:color="auto" w:fill="auto"/>
          <w:lang w:val="en-US" w:eastAsia="zh-CN"/>
        </w:rPr>
        <w:t>甲方</w:t>
      </w:r>
      <w:r>
        <w:rPr>
          <w:rFonts w:hint="eastAsia" w:ascii="宋体" w:hAnsi="宋体" w:eastAsia="宋体" w:cs="宋体"/>
          <w:i w:val="0"/>
          <w:iCs w:val="0"/>
          <w:caps w:val="0"/>
          <w:color w:val="auto"/>
          <w:spacing w:val="0"/>
          <w:sz w:val="24"/>
          <w:szCs w:val="24"/>
          <w:highlight w:val="none"/>
          <w:shd w:val="clear" w:color="auto" w:fill="auto"/>
        </w:rPr>
        <w:t>日常安全环保管理且服从</w:t>
      </w:r>
      <w:r>
        <w:rPr>
          <w:rFonts w:hint="eastAsia" w:ascii="宋体" w:hAnsi="宋体" w:eastAsia="宋体" w:cs="宋体"/>
          <w:i w:val="0"/>
          <w:iCs w:val="0"/>
          <w:caps w:val="0"/>
          <w:color w:val="auto"/>
          <w:spacing w:val="0"/>
          <w:sz w:val="24"/>
          <w:szCs w:val="24"/>
          <w:highlight w:val="none"/>
          <w:shd w:val="clear" w:color="auto" w:fill="auto"/>
          <w:lang w:val="en-US" w:eastAsia="zh-CN"/>
        </w:rPr>
        <w:t>甲方</w:t>
      </w:r>
      <w:r>
        <w:rPr>
          <w:rFonts w:hint="eastAsia" w:ascii="宋体" w:hAnsi="宋体" w:eastAsia="宋体" w:cs="宋体"/>
          <w:i w:val="0"/>
          <w:iCs w:val="0"/>
          <w:caps w:val="0"/>
          <w:color w:val="auto"/>
          <w:spacing w:val="0"/>
          <w:sz w:val="24"/>
          <w:szCs w:val="24"/>
          <w:highlight w:val="none"/>
          <w:shd w:val="clear" w:color="auto" w:fill="auto"/>
        </w:rPr>
        <w:t>统一调度，并且每月在工地现场不得少于21天。</w:t>
      </w:r>
    </w:p>
    <w:p w14:paraId="72BE65AD">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lang w:val="en-US" w:eastAsia="zh-CN"/>
        </w:rPr>
        <w:t>4.2</w:t>
      </w:r>
      <w:r>
        <w:rPr>
          <w:rFonts w:hint="eastAsia" w:ascii="宋体" w:hAnsi="宋体" w:eastAsia="宋体" w:cs="宋体"/>
          <w:i w:val="0"/>
          <w:iCs w:val="0"/>
          <w:caps w:val="0"/>
          <w:color w:val="auto"/>
          <w:spacing w:val="0"/>
          <w:sz w:val="24"/>
          <w:szCs w:val="24"/>
          <w:highlight w:val="none"/>
          <w:shd w:val="clear" w:color="auto" w:fill="auto"/>
        </w:rPr>
        <w:t>车辆配备要求</w:t>
      </w:r>
    </w:p>
    <w:p w14:paraId="46A0E248">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为保障项目实施管理需要，</w:t>
      </w:r>
      <w:r>
        <w:rPr>
          <w:rFonts w:hint="eastAsia" w:ascii="宋体" w:hAnsi="宋体" w:eastAsia="宋体" w:cs="宋体"/>
          <w:i w:val="0"/>
          <w:iCs w:val="0"/>
          <w:caps w:val="0"/>
          <w:color w:val="auto"/>
          <w:spacing w:val="0"/>
          <w:sz w:val="24"/>
          <w:szCs w:val="24"/>
          <w:highlight w:val="none"/>
          <w:shd w:val="clear" w:color="auto" w:fill="auto"/>
          <w:lang w:val="en-US" w:eastAsia="zh-CN"/>
        </w:rPr>
        <w:t>乙方</w:t>
      </w:r>
      <w:r>
        <w:rPr>
          <w:rFonts w:hint="eastAsia" w:ascii="宋体" w:hAnsi="宋体" w:eastAsia="宋体" w:cs="宋体"/>
          <w:i w:val="0"/>
          <w:iCs w:val="0"/>
          <w:caps w:val="0"/>
          <w:color w:val="auto"/>
          <w:spacing w:val="0"/>
          <w:sz w:val="24"/>
          <w:szCs w:val="24"/>
          <w:highlight w:val="none"/>
          <w:shd w:val="clear" w:color="auto" w:fill="auto"/>
        </w:rPr>
        <w:t>需配备1辆燃油汽车作为工程联络专用车。</w:t>
      </w:r>
    </w:p>
    <w:p w14:paraId="5D895861">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1.</w:t>
      </w:r>
      <w:r>
        <w:rPr>
          <w:rFonts w:hint="eastAsia" w:ascii="宋体" w:hAnsi="宋体" w:eastAsia="宋体" w:cs="宋体"/>
          <w:i w:val="0"/>
          <w:iCs w:val="0"/>
          <w:caps w:val="0"/>
          <w:color w:val="auto"/>
          <w:spacing w:val="0"/>
          <w:sz w:val="24"/>
          <w:szCs w:val="24"/>
          <w:highlight w:val="none"/>
          <w:shd w:val="clear" w:color="auto" w:fill="auto"/>
          <w:lang w:val="en-US" w:eastAsia="zh-CN"/>
        </w:rPr>
        <w:t>乙方</w:t>
      </w:r>
      <w:r>
        <w:rPr>
          <w:rFonts w:hint="eastAsia" w:ascii="宋体" w:hAnsi="宋体" w:eastAsia="宋体" w:cs="宋体"/>
          <w:i w:val="0"/>
          <w:iCs w:val="0"/>
          <w:caps w:val="0"/>
          <w:color w:val="auto"/>
          <w:spacing w:val="0"/>
          <w:sz w:val="24"/>
          <w:szCs w:val="24"/>
          <w:highlight w:val="none"/>
          <w:shd w:val="clear" w:color="auto" w:fill="auto"/>
        </w:rPr>
        <w:t>在接到</w:t>
      </w:r>
      <w:r>
        <w:rPr>
          <w:rFonts w:hint="eastAsia" w:ascii="宋体" w:hAnsi="宋体" w:eastAsia="宋体" w:cs="宋体"/>
          <w:i w:val="0"/>
          <w:iCs w:val="0"/>
          <w:caps w:val="0"/>
          <w:color w:val="auto"/>
          <w:spacing w:val="0"/>
          <w:sz w:val="24"/>
          <w:szCs w:val="24"/>
          <w:highlight w:val="none"/>
          <w:shd w:val="clear" w:color="auto" w:fill="auto"/>
          <w:lang w:eastAsia="zh-CN"/>
        </w:rPr>
        <w:t>成交</w:t>
      </w:r>
      <w:r>
        <w:rPr>
          <w:rFonts w:hint="eastAsia" w:ascii="宋体" w:hAnsi="宋体" w:eastAsia="宋体" w:cs="宋体"/>
          <w:i w:val="0"/>
          <w:iCs w:val="0"/>
          <w:caps w:val="0"/>
          <w:color w:val="auto"/>
          <w:spacing w:val="0"/>
          <w:sz w:val="24"/>
          <w:szCs w:val="24"/>
          <w:highlight w:val="none"/>
          <w:shd w:val="clear" w:color="auto" w:fill="auto"/>
        </w:rPr>
        <w:t>通知书一个月内车辆到位。自</w:t>
      </w:r>
      <w:r>
        <w:rPr>
          <w:rFonts w:hint="eastAsia" w:ascii="宋体" w:hAnsi="宋体" w:eastAsia="宋体" w:cs="宋体"/>
          <w:i w:val="0"/>
          <w:iCs w:val="0"/>
          <w:caps w:val="0"/>
          <w:color w:val="auto"/>
          <w:spacing w:val="0"/>
          <w:sz w:val="24"/>
          <w:szCs w:val="24"/>
          <w:highlight w:val="none"/>
          <w:shd w:val="clear" w:color="auto" w:fill="auto"/>
          <w:lang w:eastAsia="zh-CN"/>
        </w:rPr>
        <w:t>成交</w:t>
      </w:r>
      <w:r>
        <w:rPr>
          <w:rFonts w:hint="eastAsia" w:ascii="宋体" w:hAnsi="宋体" w:eastAsia="宋体" w:cs="宋体"/>
          <w:i w:val="0"/>
          <w:iCs w:val="0"/>
          <w:caps w:val="0"/>
          <w:color w:val="auto"/>
          <w:spacing w:val="0"/>
          <w:sz w:val="24"/>
          <w:szCs w:val="24"/>
          <w:highlight w:val="none"/>
          <w:shd w:val="clear" w:color="auto" w:fill="auto"/>
        </w:rPr>
        <w:t>通知书发出之日起至项目交工验收结束，根据工作需要，</w:t>
      </w:r>
      <w:r>
        <w:rPr>
          <w:rFonts w:hint="eastAsia" w:ascii="宋体" w:hAnsi="宋体" w:eastAsia="宋体" w:cs="宋体"/>
          <w:i w:val="0"/>
          <w:iCs w:val="0"/>
          <w:caps w:val="0"/>
          <w:color w:val="auto"/>
          <w:spacing w:val="0"/>
          <w:sz w:val="24"/>
          <w:szCs w:val="24"/>
          <w:highlight w:val="none"/>
          <w:shd w:val="clear" w:color="auto" w:fill="auto"/>
          <w:lang w:val="en-US" w:eastAsia="zh-CN"/>
        </w:rPr>
        <w:t>甲方</w:t>
      </w:r>
      <w:r>
        <w:rPr>
          <w:rFonts w:hint="eastAsia" w:ascii="宋体" w:hAnsi="宋体" w:eastAsia="宋体" w:cs="宋体"/>
          <w:i w:val="0"/>
          <w:iCs w:val="0"/>
          <w:caps w:val="0"/>
          <w:color w:val="auto"/>
          <w:spacing w:val="0"/>
          <w:sz w:val="24"/>
          <w:szCs w:val="24"/>
          <w:highlight w:val="none"/>
          <w:shd w:val="clear" w:color="auto" w:fill="auto"/>
        </w:rPr>
        <w:t>和</w:t>
      </w:r>
      <w:r>
        <w:rPr>
          <w:rFonts w:hint="eastAsia" w:ascii="宋体" w:hAnsi="宋体" w:eastAsia="宋体" w:cs="宋体"/>
          <w:i w:val="0"/>
          <w:iCs w:val="0"/>
          <w:caps w:val="0"/>
          <w:color w:val="auto"/>
          <w:spacing w:val="0"/>
          <w:sz w:val="24"/>
          <w:szCs w:val="24"/>
          <w:highlight w:val="none"/>
          <w:shd w:val="clear" w:color="auto" w:fill="auto"/>
          <w:lang w:val="en-US" w:eastAsia="zh-CN"/>
        </w:rPr>
        <w:t>乙方</w:t>
      </w:r>
      <w:r>
        <w:rPr>
          <w:rFonts w:hint="eastAsia" w:ascii="宋体" w:hAnsi="宋体" w:eastAsia="宋体" w:cs="宋体"/>
          <w:i w:val="0"/>
          <w:iCs w:val="0"/>
          <w:caps w:val="0"/>
          <w:color w:val="auto"/>
          <w:spacing w:val="0"/>
          <w:sz w:val="24"/>
          <w:szCs w:val="24"/>
          <w:highlight w:val="none"/>
          <w:shd w:val="clear" w:color="auto" w:fill="auto"/>
        </w:rPr>
        <w:t>可以使用该车辆。</w:t>
      </w:r>
    </w:p>
    <w:p w14:paraId="5DA1C472">
      <w:pPr>
        <w:snapToGrid w:val="0"/>
        <w:spacing w:line="360" w:lineRule="auto"/>
        <w:ind w:firstLine="480" w:firstLineChars="20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auto"/>
        </w:rPr>
        <w:t>2.车辆使用费（包括但不限于驾驶员工资、年检、保养、保险、维修、油耗、通行费等费用），均由相应</w:t>
      </w:r>
      <w:r>
        <w:rPr>
          <w:rFonts w:hint="eastAsia" w:ascii="宋体" w:hAnsi="宋体" w:eastAsia="宋体" w:cs="宋体"/>
          <w:i w:val="0"/>
          <w:iCs w:val="0"/>
          <w:caps w:val="0"/>
          <w:color w:val="auto"/>
          <w:spacing w:val="0"/>
          <w:sz w:val="24"/>
          <w:szCs w:val="24"/>
          <w:highlight w:val="none"/>
          <w:shd w:val="clear" w:color="auto" w:fill="auto"/>
          <w:lang w:val="en-US" w:eastAsia="zh-CN"/>
        </w:rPr>
        <w:t>乙方</w:t>
      </w:r>
      <w:r>
        <w:rPr>
          <w:rFonts w:hint="eastAsia" w:ascii="宋体" w:hAnsi="宋体" w:eastAsia="宋体" w:cs="宋体"/>
          <w:i w:val="0"/>
          <w:iCs w:val="0"/>
          <w:caps w:val="0"/>
          <w:color w:val="auto"/>
          <w:spacing w:val="0"/>
          <w:sz w:val="24"/>
          <w:szCs w:val="24"/>
          <w:highlight w:val="none"/>
          <w:shd w:val="clear" w:color="auto" w:fill="auto"/>
        </w:rPr>
        <w:t>承担，</w:t>
      </w:r>
      <w:r>
        <w:rPr>
          <w:rFonts w:hint="eastAsia" w:ascii="宋体" w:hAnsi="宋体" w:eastAsia="宋体" w:cs="宋体"/>
          <w:i w:val="0"/>
          <w:iCs w:val="0"/>
          <w:caps w:val="0"/>
          <w:color w:val="auto"/>
          <w:spacing w:val="0"/>
          <w:sz w:val="24"/>
          <w:szCs w:val="24"/>
          <w:highlight w:val="none"/>
          <w:shd w:val="clear" w:color="auto" w:fill="auto"/>
          <w:lang w:val="en-US" w:eastAsia="zh-CN"/>
        </w:rPr>
        <w:t>乙方</w:t>
      </w:r>
      <w:r>
        <w:rPr>
          <w:rFonts w:hint="eastAsia" w:ascii="宋体" w:hAnsi="宋体" w:eastAsia="宋体" w:cs="宋体"/>
          <w:i w:val="0"/>
          <w:iCs w:val="0"/>
          <w:caps w:val="0"/>
          <w:color w:val="auto"/>
          <w:spacing w:val="0"/>
          <w:sz w:val="24"/>
          <w:szCs w:val="24"/>
          <w:highlight w:val="none"/>
          <w:shd w:val="clear" w:color="auto" w:fill="auto"/>
        </w:rPr>
        <w:t>应在投标报价中予以充分考虑，合同执行期间</w:t>
      </w:r>
      <w:r>
        <w:rPr>
          <w:rFonts w:hint="eastAsia" w:ascii="宋体" w:hAnsi="宋体" w:eastAsia="宋体" w:cs="宋体"/>
          <w:i w:val="0"/>
          <w:iCs w:val="0"/>
          <w:caps w:val="0"/>
          <w:color w:val="auto"/>
          <w:spacing w:val="0"/>
          <w:sz w:val="24"/>
          <w:szCs w:val="24"/>
          <w:highlight w:val="none"/>
          <w:shd w:val="clear" w:color="auto" w:fill="auto"/>
          <w:lang w:val="en-US" w:eastAsia="zh-CN"/>
        </w:rPr>
        <w:t>甲方</w:t>
      </w:r>
      <w:r>
        <w:rPr>
          <w:rFonts w:hint="eastAsia" w:ascii="宋体" w:hAnsi="宋体" w:eastAsia="宋体" w:cs="宋体"/>
          <w:i w:val="0"/>
          <w:iCs w:val="0"/>
          <w:caps w:val="0"/>
          <w:color w:val="auto"/>
          <w:spacing w:val="0"/>
          <w:sz w:val="24"/>
          <w:szCs w:val="24"/>
          <w:highlight w:val="none"/>
          <w:shd w:val="clear" w:color="auto" w:fill="auto"/>
        </w:rPr>
        <w:t>不另行支付费用，</w:t>
      </w:r>
      <w:r>
        <w:rPr>
          <w:rFonts w:hint="eastAsia" w:ascii="宋体" w:hAnsi="宋体" w:eastAsia="宋体" w:cs="宋体"/>
          <w:i w:val="0"/>
          <w:iCs w:val="0"/>
          <w:caps w:val="0"/>
          <w:color w:val="auto"/>
          <w:spacing w:val="0"/>
          <w:sz w:val="24"/>
          <w:szCs w:val="24"/>
          <w:highlight w:val="none"/>
          <w:shd w:val="clear" w:color="auto" w:fill="auto"/>
          <w:lang w:val="en-US" w:eastAsia="zh-CN"/>
        </w:rPr>
        <w:t>乙方</w:t>
      </w:r>
      <w:r>
        <w:rPr>
          <w:rFonts w:hint="eastAsia" w:ascii="宋体" w:hAnsi="宋体" w:eastAsia="宋体" w:cs="宋体"/>
          <w:i w:val="0"/>
          <w:iCs w:val="0"/>
          <w:caps w:val="0"/>
          <w:color w:val="auto"/>
          <w:spacing w:val="0"/>
          <w:sz w:val="24"/>
          <w:szCs w:val="24"/>
          <w:highlight w:val="none"/>
          <w:shd w:val="clear" w:color="auto" w:fill="auto"/>
        </w:rPr>
        <w:t>也不得就此要求补偿。其中投保险种应包括但不限于机动车交通事故责任强制保险、机动车损失保险、机动车第三者责任保险（保额应不低于人民币300万元）和车上人员责任险（包括司机和乘客），以及不计免赔保险等。</w:t>
      </w:r>
    </w:p>
    <w:p w14:paraId="78410F22">
      <w:pPr>
        <w:pageBreakBefore w:val="0"/>
        <w:widowControl/>
        <w:numPr>
          <w:ilvl w:val="0"/>
          <w:numId w:val="0"/>
        </w:numPr>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auto"/>
        </w:rPr>
        <w:t>3.</w:t>
      </w:r>
      <w:r>
        <w:rPr>
          <w:rFonts w:hint="eastAsia" w:ascii="宋体" w:hAnsi="宋体" w:eastAsia="宋体" w:cs="宋体"/>
          <w:i w:val="0"/>
          <w:iCs w:val="0"/>
          <w:caps w:val="0"/>
          <w:color w:val="auto"/>
          <w:spacing w:val="0"/>
          <w:sz w:val="24"/>
          <w:szCs w:val="24"/>
          <w:highlight w:val="none"/>
          <w:shd w:val="clear" w:color="auto" w:fill="auto"/>
          <w:lang w:val="en-US" w:eastAsia="zh-CN"/>
        </w:rPr>
        <w:t>乙方</w:t>
      </w:r>
      <w:r>
        <w:rPr>
          <w:rFonts w:hint="eastAsia" w:ascii="宋体" w:hAnsi="宋体" w:eastAsia="宋体" w:cs="宋体"/>
          <w:i w:val="0"/>
          <w:iCs w:val="0"/>
          <w:caps w:val="0"/>
          <w:color w:val="auto"/>
          <w:spacing w:val="0"/>
          <w:sz w:val="24"/>
          <w:szCs w:val="24"/>
          <w:highlight w:val="none"/>
          <w:shd w:val="clear" w:color="auto" w:fill="auto"/>
        </w:rPr>
        <w:t>应保证</w:t>
      </w:r>
      <w:r>
        <w:rPr>
          <w:rFonts w:hint="eastAsia" w:ascii="宋体" w:hAnsi="宋体" w:eastAsia="宋体" w:cs="宋体"/>
          <w:i w:val="0"/>
          <w:iCs w:val="0"/>
          <w:caps w:val="0"/>
          <w:color w:val="auto"/>
          <w:spacing w:val="0"/>
          <w:sz w:val="24"/>
          <w:szCs w:val="24"/>
          <w:highlight w:val="none"/>
          <w:shd w:val="clear" w:color="auto" w:fill="auto"/>
          <w:lang w:val="en-US" w:eastAsia="zh-CN"/>
        </w:rPr>
        <w:t>甲方</w:t>
      </w:r>
      <w:r>
        <w:rPr>
          <w:rFonts w:hint="eastAsia" w:ascii="宋体" w:hAnsi="宋体" w:eastAsia="宋体" w:cs="宋体"/>
          <w:i w:val="0"/>
          <w:iCs w:val="0"/>
          <w:caps w:val="0"/>
          <w:color w:val="auto"/>
          <w:spacing w:val="0"/>
          <w:sz w:val="24"/>
          <w:szCs w:val="24"/>
          <w:highlight w:val="none"/>
          <w:shd w:val="clear" w:color="auto" w:fill="auto"/>
        </w:rPr>
        <w:t>免于承担因</w:t>
      </w:r>
      <w:r>
        <w:rPr>
          <w:rFonts w:hint="eastAsia" w:ascii="宋体" w:hAnsi="宋体" w:eastAsia="宋体" w:cs="宋体"/>
          <w:i w:val="0"/>
          <w:iCs w:val="0"/>
          <w:caps w:val="0"/>
          <w:color w:val="auto"/>
          <w:spacing w:val="0"/>
          <w:sz w:val="24"/>
          <w:szCs w:val="24"/>
          <w:highlight w:val="none"/>
          <w:shd w:val="clear" w:color="auto" w:fill="auto"/>
          <w:lang w:val="en-US" w:eastAsia="zh-CN"/>
        </w:rPr>
        <w:t>乙方</w:t>
      </w:r>
      <w:r>
        <w:rPr>
          <w:rFonts w:hint="eastAsia" w:ascii="宋体" w:hAnsi="宋体" w:eastAsia="宋体" w:cs="宋体"/>
          <w:i w:val="0"/>
          <w:iCs w:val="0"/>
          <w:caps w:val="0"/>
          <w:color w:val="auto"/>
          <w:spacing w:val="0"/>
          <w:sz w:val="24"/>
          <w:szCs w:val="24"/>
          <w:highlight w:val="none"/>
          <w:shd w:val="clear" w:color="auto" w:fill="auto"/>
        </w:rPr>
        <w:t>提供的车辆的车险事故或驾驶员所引起的赔偿、诉讼、指控及相关费用。</w:t>
      </w:r>
    </w:p>
    <w:p w14:paraId="6A676F74">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五</w:t>
      </w:r>
      <w:r>
        <w:rPr>
          <w:rFonts w:hint="eastAsia" w:ascii="宋体" w:hAnsi="宋体" w:eastAsia="宋体" w:cs="宋体"/>
          <w:b/>
          <w:color w:val="auto"/>
          <w:sz w:val="24"/>
          <w:highlight w:val="none"/>
        </w:rPr>
        <w:t>、知识产权</w:t>
      </w:r>
    </w:p>
    <w:p w14:paraId="6B13F3C3">
      <w:pPr>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.1甲乙双方未事先征得对方同意，不得把合同的权利和义务委托别人或转让他方。同时甲乙双方应履行保密义务，未经对方书面许可，</w:t>
      </w:r>
      <w:r>
        <w:rPr>
          <w:rFonts w:hint="eastAsia" w:ascii="宋体" w:hAnsi="宋体" w:eastAsia="宋体" w:cs="宋体"/>
          <w:color w:val="auto"/>
          <w:sz w:val="24"/>
          <w:highlight w:val="none"/>
          <w:lang w:eastAsia="zh-CN"/>
        </w:rPr>
        <w:t>不得</w:t>
      </w:r>
      <w:r>
        <w:rPr>
          <w:rFonts w:hint="eastAsia" w:ascii="宋体" w:hAnsi="宋体" w:eastAsia="宋体" w:cs="宋体"/>
          <w:color w:val="auto"/>
          <w:sz w:val="24"/>
          <w:highlight w:val="none"/>
        </w:rPr>
        <w:t xml:space="preserve">向合同之外的人或单位展示、披露或以其他方式泄露任何技术文件或与合同有关的数据，包括合同本身，保密义务不因合同有效期的终止而结束。 </w:t>
      </w:r>
    </w:p>
    <w:p w14:paraId="4239CDD4">
      <w:pPr>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 xml:space="preserve">.2因履行本协议甲方向乙方提供的所有信息，无论是书面的、口头的、图形的、电磁的或其他任何形式的信息，包括（但不限于）数据、模型、样品、草案、技术、方法、仪器设备和其他信息，只要不为社会公众所周知，乙方均应予以保密，且只能在本合同目的范围内使用。 </w:t>
      </w:r>
    </w:p>
    <w:p w14:paraId="149BB01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.3项目所涉及的技术专利申请权的归属问题由甲乙双方协商确定。</w:t>
      </w:r>
    </w:p>
    <w:p w14:paraId="1DC3881D">
      <w:pPr>
        <w:adjustRightInd w:val="0"/>
        <w:snapToGrid w:val="0"/>
        <w:spacing w:line="360" w:lineRule="auto"/>
        <w:ind w:firstLine="482" w:firstLineChars="200"/>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lang w:val="en-US" w:eastAsia="zh-CN"/>
        </w:rPr>
        <w:t>六</w:t>
      </w:r>
      <w:r>
        <w:rPr>
          <w:rFonts w:hint="eastAsia" w:ascii="宋体" w:hAnsi="宋体" w:eastAsia="宋体" w:cs="宋体"/>
          <w:b/>
          <w:color w:val="auto"/>
          <w:sz w:val="24"/>
          <w:highlight w:val="none"/>
        </w:rPr>
        <w:t>、产权担保</w:t>
      </w:r>
    </w:p>
    <w:p w14:paraId="01BB254A">
      <w:pPr>
        <w:adjustRightInd w:val="0"/>
        <w:snapToGrid w:val="0"/>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.1乙方保证所交付的合同标的的所有权完全属于乙方且无任何抵押、查封等产权瑕疵。</w:t>
      </w:r>
    </w:p>
    <w:p w14:paraId="23C8F8D6">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七</w:t>
      </w:r>
      <w:r>
        <w:rPr>
          <w:rFonts w:hint="eastAsia" w:ascii="宋体" w:hAnsi="宋体" w:eastAsia="宋体" w:cs="宋体"/>
          <w:b/>
          <w:color w:val="auto"/>
          <w:sz w:val="24"/>
          <w:highlight w:val="none"/>
        </w:rPr>
        <w:t>、履约保证金</w:t>
      </w:r>
    </w:p>
    <w:p w14:paraId="33B46E58">
      <w:pPr>
        <w:keepNext w:val="0"/>
        <w:keepLines w:val="0"/>
        <w:pageBreakBefore w:val="0"/>
        <w:numPr>
          <w:ilvl w:val="0"/>
          <w:numId w:val="0"/>
        </w:numPr>
        <w:kinsoku/>
        <w:wordWrap/>
        <w:overflowPunct/>
        <w:topLinePunct w:val="0"/>
        <w:autoSpaceDE/>
        <w:autoSpaceDN/>
        <w:bidi w:val="0"/>
        <w:snapToGrid w:val="0"/>
        <w:spacing w:line="360" w:lineRule="auto"/>
        <w:ind w:firstLine="480" w:firstLineChars="200"/>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7.1</w:t>
      </w:r>
      <w:r>
        <w:rPr>
          <w:rFonts w:hint="eastAsia" w:ascii="宋体" w:hAnsi="宋体" w:eastAsia="宋体" w:cs="宋体"/>
          <w:color w:val="auto"/>
          <w:sz w:val="24"/>
          <w:szCs w:val="24"/>
          <w:highlight w:val="none"/>
        </w:rPr>
        <w:t>本项目履约保证金为</w:t>
      </w:r>
      <w:r>
        <w:rPr>
          <w:rFonts w:hint="eastAsia" w:ascii="宋体" w:hAnsi="宋体" w:eastAsia="宋体" w:cs="宋体"/>
          <w:color w:val="auto"/>
          <w:sz w:val="24"/>
          <w:szCs w:val="24"/>
          <w:highlight w:val="none"/>
          <w:lang w:val="en-US" w:eastAsia="zh-CN"/>
        </w:rPr>
        <w:t>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53A72228">
      <w:pPr>
        <w:keepNext w:val="0"/>
        <w:keepLines w:val="0"/>
        <w:pageBreakBefore w:val="0"/>
        <w:numPr>
          <w:ilvl w:val="0"/>
          <w:numId w:val="0"/>
        </w:numPr>
        <w:kinsoku/>
        <w:wordWrap/>
        <w:overflowPunct/>
        <w:topLinePunct w:val="0"/>
        <w:autoSpaceDE/>
        <w:autoSpaceDN/>
        <w:bidi w:val="0"/>
        <w:snapToGrid w:val="0"/>
        <w:spacing w:line="360" w:lineRule="auto"/>
        <w:ind w:firstLine="480" w:firstLineChars="200"/>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7.2乙方</w:t>
      </w:r>
      <w:r>
        <w:rPr>
          <w:rFonts w:hint="eastAsia" w:ascii="宋体" w:hAnsi="宋体" w:eastAsia="宋体" w:cs="宋体"/>
          <w:color w:val="auto"/>
          <w:sz w:val="24"/>
          <w:szCs w:val="24"/>
          <w:highlight w:val="none"/>
        </w:rPr>
        <w:t>全部履约合同义务，经</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验收合格无质量、进度等问题的，</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在验收合格后一次性退还履约保证金，</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若逾期退还履约保证金的，按照逾期部分的每日0.05%支付违约金。</w:t>
      </w:r>
    </w:p>
    <w:p w14:paraId="7837CD32">
      <w:pPr>
        <w:keepNext w:val="0"/>
        <w:keepLines w:val="0"/>
        <w:pageBreakBefore w:val="0"/>
        <w:numPr>
          <w:ilvl w:val="0"/>
          <w:numId w:val="0"/>
        </w:numPr>
        <w:kinsoku/>
        <w:wordWrap/>
        <w:overflowPunct/>
        <w:topLinePunct w:val="0"/>
        <w:autoSpaceDE/>
        <w:autoSpaceDN/>
        <w:bidi w:val="0"/>
        <w:snapToGrid w:val="0"/>
        <w:spacing w:line="360" w:lineRule="auto"/>
        <w:ind w:firstLine="480" w:firstLineChars="200"/>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7.3</w:t>
      </w:r>
      <w:r>
        <w:rPr>
          <w:rFonts w:hint="eastAsia" w:ascii="宋体" w:hAnsi="宋体" w:eastAsia="宋体" w:cs="宋体"/>
          <w:color w:val="auto"/>
          <w:sz w:val="24"/>
          <w:szCs w:val="24"/>
          <w:highlight w:val="none"/>
        </w:rPr>
        <w:t>发生以下情况的，履约保证金不予退还或部分退还：</w:t>
      </w:r>
    </w:p>
    <w:p w14:paraId="263FE54A">
      <w:pPr>
        <w:keepNext w:val="0"/>
        <w:keepLines w:val="0"/>
        <w:pageBreakBefore w:val="0"/>
        <w:kinsoku/>
        <w:wordWrap/>
        <w:overflowPunct/>
        <w:topLinePunct w:val="0"/>
        <w:autoSpaceDE/>
        <w:autoSpaceDN/>
        <w:bidi w:val="0"/>
        <w:snapToGrid w:val="0"/>
        <w:spacing w:line="360" w:lineRule="auto"/>
        <w:ind w:firstLine="480" w:firstLineChars="200"/>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a.签订合同后，</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不履行合同义务的，</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有权全额扣除履约保证金，全额不予退还，同时</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亦有权终止合同，</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还须承担相应的法律赔偿责任。</w:t>
      </w:r>
    </w:p>
    <w:p w14:paraId="6ADA2824">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在履约过程中发生违约行为，给</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造成损失的，</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有权在</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缴纳的履约保证金中予以扣款，以弥补</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经济损失，不足的部分</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另外补齐。</w:t>
      </w:r>
    </w:p>
    <w:p w14:paraId="500B5129">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八</w:t>
      </w:r>
      <w:r>
        <w:rPr>
          <w:rFonts w:hint="eastAsia" w:ascii="宋体" w:hAnsi="宋体" w:eastAsia="宋体" w:cs="宋体"/>
          <w:b/>
          <w:color w:val="auto"/>
          <w:sz w:val="24"/>
          <w:highlight w:val="none"/>
        </w:rPr>
        <w:t>、合同转包或分包</w:t>
      </w:r>
    </w:p>
    <w:p w14:paraId="2ADDAA3A">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.1乙方不得将合同标的转包给他人履行。</w:t>
      </w:r>
    </w:p>
    <w:p w14:paraId="06E82C6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.2乙方不得将合同标的分包给他人履行。</w:t>
      </w:r>
    </w:p>
    <w:p w14:paraId="6FD927D2">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.3乙方如有转包或分包行为，甲方有权解除合同。</w:t>
      </w:r>
    </w:p>
    <w:p w14:paraId="1D2C9086">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九</w:t>
      </w:r>
      <w:r>
        <w:rPr>
          <w:rFonts w:hint="eastAsia" w:ascii="宋体" w:hAnsi="宋体" w:eastAsia="宋体" w:cs="宋体"/>
          <w:b/>
          <w:color w:val="auto"/>
          <w:sz w:val="24"/>
          <w:highlight w:val="none"/>
        </w:rPr>
        <w:t>、合同款项支付</w:t>
      </w:r>
    </w:p>
    <w:p w14:paraId="71BE6BBB">
      <w:pPr>
        <w:adjustRightInd w:val="0"/>
        <w:snapToGrid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auto"/>
        </w:rPr>
        <w:t>安全环保咨询服务一年后支付合同价的50%，服务期满且工程交工验收合</w:t>
      </w:r>
      <w:r>
        <w:rPr>
          <w:rFonts w:hint="eastAsia" w:ascii="宋体" w:hAnsi="宋体" w:eastAsia="宋体" w:cs="宋体"/>
          <w:color w:val="auto"/>
          <w:sz w:val="24"/>
          <w:highlight w:val="none"/>
          <w:lang w:val="en-US" w:eastAsia="zh-CN"/>
        </w:rPr>
        <w:t>格后付清余款。</w:t>
      </w:r>
    </w:p>
    <w:p w14:paraId="401CD3B2">
      <w:pPr>
        <w:adjustRightInd w:val="0"/>
        <w:snapToGrid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本项目付款单位为启东安瑞达开发建设有限公司。</w:t>
      </w:r>
    </w:p>
    <w:p w14:paraId="6DB127B0">
      <w:pPr>
        <w:adjustRightInd w:val="0"/>
        <w:snapToGrid w:val="0"/>
        <w:spacing w:line="360" w:lineRule="auto"/>
        <w:ind w:firstLine="48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4"/>
          <w:highlight w:val="none"/>
          <w:lang w:val="en-US" w:eastAsia="zh-CN"/>
        </w:rPr>
        <w:t>注：乙方未按时提供增值税发票的，甲方有权不予付款，且不承担任何逾期付款责任（包括但不限于违约金、逾期付款损失等）。</w:t>
      </w:r>
    </w:p>
    <w:p w14:paraId="346150DF">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十、税费</w:t>
      </w:r>
    </w:p>
    <w:p w14:paraId="2EC147C3">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.1本合同执行中相关的一切税费均由乙方负担。</w:t>
      </w:r>
    </w:p>
    <w:p w14:paraId="607E9D74">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w:t>
      </w:r>
      <w:r>
        <w:rPr>
          <w:rFonts w:hint="eastAsia" w:ascii="宋体" w:hAnsi="宋体" w:cs="宋体"/>
          <w:b/>
          <w:color w:val="auto"/>
          <w:sz w:val="24"/>
          <w:highlight w:val="none"/>
          <w:lang w:val="en-US" w:eastAsia="zh-CN"/>
        </w:rPr>
        <w:t>一</w:t>
      </w:r>
      <w:r>
        <w:rPr>
          <w:rFonts w:hint="eastAsia" w:ascii="宋体" w:hAnsi="宋体" w:eastAsia="宋体" w:cs="宋体"/>
          <w:b/>
          <w:color w:val="auto"/>
          <w:sz w:val="24"/>
          <w:highlight w:val="none"/>
        </w:rPr>
        <w:t>、违约责任</w:t>
      </w:r>
    </w:p>
    <w:p w14:paraId="3BD26DE4">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.1甲方无正当理由拒绝接受乙方提供的合同标的的，甲方向乙方偿付拒绝接受合同价款总值</w:t>
      </w:r>
      <w:r>
        <w:rPr>
          <w:rFonts w:hint="eastAsia" w:ascii="宋体" w:hAnsi="宋体" w:eastAsia="宋体" w:cs="宋体"/>
          <w:color w:val="auto"/>
          <w:sz w:val="24"/>
          <w:highlight w:val="none"/>
          <w:u w:val="single"/>
        </w:rPr>
        <w:t>5%</w:t>
      </w:r>
      <w:r>
        <w:rPr>
          <w:rFonts w:hint="eastAsia" w:ascii="宋体" w:hAnsi="宋体" w:eastAsia="宋体" w:cs="宋体"/>
          <w:color w:val="auto"/>
          <w:sz w:val="24"/>
          <w:highlight w:val="none"/>
        </w:rPr>
        <w:t>的违约金。</w:t>
      </w:r>
    </w:p>
    <w:p w14:paraId="1DEA7EB2">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乙方逾期交付合同标的的，乙方应按逾期交付合同总额每日6‰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4"/>
          <w:highlight w:val="none"/>
          <w:u w:val="single"/>
        </w:rPr>
        <w:t>5%</w:t>
      </w:r>
      <w:r>
        <w:rPr>
          <w:rFonts w:hint="eastAsia" w:ascii="宋体" w:hAnsi="宋体" w:eastAsia="宋体" w:cs="宋体"/>
          <w:color w:val="auto"/>
          <w:sz w:val="24"/>
          <w:highlight w:val="none"/>
        </w:rPr>
        <w:t xml:space="preserve">的违约金，如造成甲方损失超过违约金的，超出部分由乙方继续承担赔偿责任。 </w:t>
      </w:r>
    </w:p>
    <w:p w14:paraId="2DE4A96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乙方交付合同标的的标准不符合合同规定及招标文件规定标准的，甲方有权拒绝接受合同标的，并可单方面解除合同。</w:t>
      </w:r>
    </w:p>
    <w:p w14:paraId="6F3627C8">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w:t>
      </w:r>
      <w:r>
        <w:rPr>
          <w:rFonts w:hint="eastAsia" w:ascii="宋体" w:hAnsi="宋体" w:cs="宋体"/>
          <w:b/>
          <w:color w:val="auto"/>
          <w:sz w:val="24"/>
          <w:highlight w:val="none"/>
          <w:lang w:val="en-US" w:eastAsia="zh-CN"/>
        </w:rPr>
        <w:t>二</w:t>
      </w:r>
      <w:r>
        <w:rPr>
          <w:rFonts w:hint="eastAsia" w:ascii="宋体" w:hAnsi="宋体" w:eastAsia="宋体" w:cs="宋体"/>
          <w:b/>
          <w:color w:val="auto"/>
          <w:sz w:val="24"/>
          <w:highlight w:val="none"/>
        </w:rPr>
        <w:t>、不可抗力事件处理</w:t>
      </w:r>
    </w:p>
    <w:p w14:paraId="48C02AEC">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.1在合同有效期内，任何一方因不可抗力事件导致不能履行合同，则合同履行期可延长，其延长期与不可抗力影响期相同。</w:t>
      </w:r>
    </w:p>
    <w:p w14:paraId="38116A3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.2不可抗力事件发生后，应立即通知对方，并寄送有关权威机构出具的证明。</w:t>
      </w:r>
    </w:p>
    <w:p w14:paraId="149B85F7">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.3不可抗力事件延续120天以上，双方应通过友好协商，确定是否继续履行合同。</w:t>
      </w:r>
    </w:p>
    <w:p w14:paraId="6871E65E">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w:t>
      </w:r>
      <w:r>
        <w:rPr>
          <w:rFonts w:hint="eastAsia" w:ascii="宋体" w:hAnsi="宋体" w:cs="宋体"/>
          <w:b/>
          <w:color w:val="auto"/>
          <w:sz w:val="24"/>
          <w:highlight w:val="none"/>
          <w:lang w:val="en-US" w:eastAsia="zh-CN"/>
        </w:rPr>
        <w:t>三</w:t>
      </w:r>
      <w:r>
        <w:rPr>
          <w:rFonts w:hint="eastAsia" w:ascii="宋体" w:hAnsi="宋体" w:eastAsia="宋体" w:cs="宋体"/>
          <w:b/>
          <w:color w:val="auto"/>
          <w:sz w:val="24"/>
          <w:highlight w:val="none"/>
        </w:rPr>
        <w:t>、解决争议的方法</w:t>
      </w:r>
    </w:p>
    <w:p w14:paraId="522A31D3">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.1双方在签订、履行合同中所发生的一切争议，应通过友好协商解决。如协商不成，由甲方住所地人民法院管辖。</w:t>
      </w:r>
    </w:p>
    <w:p w14:paraId="426B8563">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w:t>
      </w:r>
      <w:r>
        <w:rPr>
          <w:rFonts w:hint="eastAsia" w:ascii="宋体" w:hAnsi="宋体" w:cs="宋体"/>
          <w:b/>
          <w:color w:val="auto"/>
          <w:sz w:val="24"/>
          <w:highlight w:val="none"/>
          <w:lang w:val="en-US" w:eastAsia="zh-CN"/>
        </w:rPr>
        <w:t>四</w:t>
      </w:r>
      <w:r>
        <w:rPr>
          <w:rFonts w:hint="eastAsia" w:ascii="宋体" w:hAnsi="宋体" w:eastAsia="宋体" w:cs="宋体"/>
          <w:b/>
          <w:color w:val="auto"/>
          <w:sz w:val="24"/>
          <w:highlight w:val="none"/>
        </w:rPr>
        <w:t>、合同生效及其他</w:t>
      </w:r>
    </w:p>
    <w:p w14:paraId="45E77870">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在乙方提供履约保证金且</w:t>
      </w:r>
      <w:r>
        <w:rPr>
          <w:rFonts w:hint="eastAsia" w:ascii="宋体" w:hAnsi="宋体" w:eastAsia="宋体" w:cs="宋体"/>
          <w:color w:val="auto"/>
          <w:sz w:val="24"/>
          <w:highlight w:val="none"/>
        </w:rPr>
        <w:t>合同经双方法定代表人或授权委托代表人签字并加盖单位公章后生效。</w:t>
      </w:r>
    </w:p>
    <w:p w14:paraId="1F39828A">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.2本合同未尽事宜，遵照《中华人民共和国民法典》、《中华人民共和国政府采购法》等有关条文执行。</w:t>
      </w:r>
    </w:p>
    <w:p w14:paraId="72316B39">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.3本合同正本一式</w:t>
      </w:r>
      <w:r>
        <w:rPr>
          <w:rFonts w:hint="eastAsia" w:ascii="宋体" w:hAnsi="宋体" w:eastAsia="宋体" w:cs="宋体"/>
          <w:color w:val="auto"/>
          <w:sz w:val="24"/>
          <w:highlight w:val="none"/>
          <w:lang w:val="en-US" w:eastAsia="zh-CN"/>
        </w:rPr>
        <w:t>六</w:t>
      </w:r>
      <w:r>
        <w:rPr>
          <w:rFonts w:hint="eastAsia" w:ascii="宋体" w:hAnsi="宋体" w:eastAsia="宋体" w:cs="宋体"/>
          <w:color w:val="auto"/>
          <w:sz w:val="24"/>
          <w:highlight w:val="none"/>
        </w:rPr>
        <w:t>份，具有同等法律效力，甲方、乙方各执</w:t>
      </w:r>
      <w:r>
        <w:rPr>
          <w:rFonts w:hint="eastAsia" w:ascii="宋体" w:hAnsi="宋体" w:eastAsia="宋体" w:cs="宋体"/>
          <w:color w:val="auto"/>
          <w:sz w:val="24"/>
          <w:highlight w:val="none"/>
          <w:lang w:val="en-US" w:eastAsia="zh-CN"/>
        </w:rPr>
        <w:t>三</w:t>
      </w:r>
      <w:r>
        <w:rPr>
          <w:rFonts w:hint="eastAsia" w:ascii="宋体" w:hAnsi="宋体" w:eastAsia="宋体" w:cs="宋体"/>
          <w:color w:val="auto"/>
          <w:sz w:val="24"/>
          <w:highlight w:val="none"/>
        </w:rPr>
        <w:t>份。</w:t>
      </w:r>
    </w:p>
    <w:p w14:paraId="64A447E9">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2EC17A0D">
      <w:pPr>
        <w:pStyle w:val="2"/>
        <w:rPr>
          <w:rFonts w:hint="eastAsia"/>
          <w:color w:val="auto"/>
          <w:highlight w:val="none"/>
        </w:rPr>
      </w:pPr>
    </w:p>
    <w:p w14:paraId="14F7149D">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甲方：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             乙方：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（盖章） </w:t>
      </w:r>
    </w:p>
    <w:p w14:paraId="475E7F36">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7C9041D8">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                        法定代表人</w:t>
      </w:r>
    </w:p>
    <w:p w14:paraId="201C16A9">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i/>
          <w:color w:val="auto"/>
          <w:sz w:val="24"/>
          <w:highlight w:val="none"/>
        </w:rPr>
        <w:t>（</w:t>
      </w:r>
      <w:r>
        <w:rPr>
          <w:rFonts w:hint="eastAsia" w:ascii="宋体" w:hAnsi="宋体" w:eastAsia="宋体" w:cs="宋体"/>
          <w:color w:val="auto"/>
          <w:sz w:val="24"/>
          <w:highlight w:val="none"/>
        </w:rPr>
        <w:t>签字或盖章）或其委托代理人：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i/>
          <w:color w:val="auto"/>
          <w:sz w:val="24"/>
          <w:highlight w:val="none"/>
        </w:rPr>
        <w:t>（</w:t>
      </w:r>
      <w:r>
        <w:rPr>
          <w:rFonts w:hint="eastAsia" w:ascii="宋体" w:hAnsi="宋体" w:eastAsia="宋体" w:cs="宋体"/>
          <w:color w:val="auto"/>
          <w:sz w:val="24"/>
          <w:highlight w:val="none"/>
        </w:rPr>
        <w:t>签字或盖章）</w:t>
      </w:r>
    </w:p>
    <w:p w14:paraId="1F9B053F">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5CB32E2C">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签订日期：      年    月   日</w:t>
      </w:r>
    </w:p>
    <w:p w14:paraId="24FDCC05">
      <w:pPr>
        <w:pBdr>
          <w:top w:val="none" w:color="000000" w:sz="0" w:space="0"/>
          <w:left w:val="none" w:color="000000" w:sz="0" w:space="0"/>
          <w:right w:val="none" w:color="000000" w:sz="0" w:space="0"/>
          <w:between w:val="none" w:color="000000" w:sz="0" w:space="0"/>
        </w:pBdr>
        <w:spacing w:line="360" w:lineRule="auto"/>
        <w:rPr>
          <w:rFonts w:hint="eastAsia" w:ascii="宋体" w:hAnsi="宋体" w:eastAsia="宋体" w:cs="宋体"/>
          <w:b/>
          <w:color w:val="auto"/>
          <w:highlight w:val="none"/>
        </w:rPr>
      </w:pPr>
      <w:r>
        <w:rPr>
          <w:rFonts w:hint="eastAsia" w:ascii="宋体" w:hAnsi="宋体" w:eastAsia="宋体" w:cs="宋体"/>
          <w:color w:val="auto"/>
          <w:sz w:val="24"/>
          <w:highlight w:val="none"/>
        </w:rPr>
        <w:br w:type="page"/>
      </w:r>
    </w:p>
    <w:p w14:paraId="3B7F7DD4">
      <w:pPr>
        <w:widowControl/>
        <w:spacing w:line="360" w:lineRule="auto"/>
        <w:jc w:val="center"/>
        <w:rPr>
          <w:rFonts w:hint="eastAsia" w:ascii="宋体" w:hAnsi="宋体" w:eastAsia="宋体" w:cs="宋体"/>
          <w:bCs/>
          <w:color w:val="auto"/>
          <w:sz w:val="44"/>
          <w:szCs w:val="28"/>
          <w:highlight w:val="none"/>
        </w:rPr>
      </w:pPr>
      <w:bookmarkStart w:id="137" w:name="_Toc120614281"/>
      <w:r>
        <w:rPr>
          <w:rFonts w:hint="eastAsia" w:ascii="宋体" w:hAnsi="宋体" w:eastAsia="宋体" w:cs="宋体"/>
          <w:bCs/>
          <w:color w:val="auto"/>
          <w:sz w:val="44"/>
          <w:szCs w:val="28"/>
          <w:highlight w:val="none"/>
        </w:rPr>
        <w:t>第</w:t>
      </w:r>
      <w:r>
        <w:rPr>
          <w:rFonts w:hint="eastAsia" w:ascii="宋体" w:hAnsi="宋体" w:eastAsia="宋体" w:cs="宋体"/>
          <w:bCs/>
          <w:color w:val="auto"/>
          <w:sz w:val="44"/>
          <w:szCs w:val="28"/>
          <w:highlight w:val="none"/>
          <w:lang w:val="en-US" w:eastAsia="zh-CN"/>
        </w:rPr>
        <w:t>四部分</w:t>
      </w:r>
      <w:r>
        <w:rPr>
          <w:rFonts w:hint="eastAsia" w:ascii="宋体" w:hAnsi="宋体" w:eastAsia="宋体" w:cs="宋体"/>
          <w:bCs/>
          <w:color w:val="auto"/>
          <w:sz w:val="44"/>
          <w:szCs w:val="28"/>
          <w:highlight w:val="none"/>
        </w:rPr>
        <w:t xml:space="preserve">  </w:t>
      </w:r>
      <w:r>
        <w:rPr>
          <w:rFonts w:hint="eastAsia" w:ascii="宋体" w:hAnsi="宋体" w:eastAsia="宋体" w:cs="宋体"/>
          <w:b/>
          <w:bCs/>
          <w:color w:val="auto"/>
          <w:sz w:val="44"/>
          <w:szCs w:val="28"/>
          <w:highlight w:val="none"/>
        </w:rPr>
        <w:t>评审方法与评审标准</w:t>
      </w:r>
    </w:p>
    <w:p w14:paraId="6A54828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一、磋商方式</w:t>
      </w:r>
    </w:p>
    <w:p w14:paraId="1126084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不见面远程磋商模式：供应商在各自地点通过“苏采云”系统参加磋商活动。</w:t>
      </w:r>
    </w:p>
    <w:p w14:paraId="2F1F77E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二、评审方法和标准</w:t>
      </w:r>
    </w:p>
    <w:p w14:paraId="39E5CEF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评审方法：综合评分法。</w:t>
      </w:r>
    </w:p>
    <w:p w14:paraId="0CD3160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1D56D6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最后报价将作为评审价。系统发送最后报价填报通知后，所有的响应供应商须在系统规定的时间内填写并提交最后报价，未在规定时间内提交最后报价的或超过第一轮报价的，视作无效响应处理。</w:t>
      </w:r>
    </w:p>
    <w:p w14:paraId="7A616CE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2015〕124号）规定情形的，提交最后报价的供应商可以为2家。</w:t>
      </w:r>
    </w:p>
    <w:p w14:paraId="770A8A8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供应商价格部分和商务、技术部分的合计分值，为该供应商的评审总得分。</w:t>
      </w:r>
    </w:p>
    <w:p w14:paraId="6EDDC71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评标结果按评审后总得分由高到低顺序排列，确定成交候选供应商名单并按顺序确定成交供应商。评审得分相同的，按照最后报价由低到高的顺序推荐。评审得分且最后报价相同的，按照</w:t>
      </w:r>
      <w:r>
        <w:rPr>
          <w:rFonts w:hint="eastAsia" w:ascii="宋体" w:hAnsi="宋体" w:cs="宋体"/>
          <w:color w:val="auto"/>
          <w:sz w:val="24"/>
          <w:szCs w:val="24"/>
          <w:highlight w:val="none"/>
          <w:lang w:val="en-US" w:eastAsia="zh-CN"/>
        </w:rPr>
        <w:t>服务方案</w:t>
      </w:r>
      <w:r>
        <w:rPr>
          <w:rFonts w:hint="eastAsia" w:ascii="宋体" w:hAnsi="宋体" w:eastAsia="宋体" w:cs="宋体"/>
          <w:color w:val="auto"/>
          <w:sz w:val="24"/>
          <w:szCs w:val="24"/>
          <w:highlight w:val="none"/>
        </w:rPr>
        <w:t>优劣顺序推荐，如</w:t>
      </w:r>
      <w:r>
        <w:rPr>
          <w:rFonts w:hint="eastAsia" w:ascii="宋体" w:hAnsi="宋体" w:cs="宋体"/>
          <w:color w:val="auto"/>
          <w:sz w:val="24"/>
          <w:szCs w:val="24"/>
          <w:highlight w:val="none"/>
          <w:lang w:val="en-US" w:eastAsia="zh-CN"/>
        </w:rPr>
        <w:t>服务方案</w:t>
      </w:r>
      <w:r>
        <w:rPr>
          <w:rFonts w:hint="eastAsia" w:ascii="宋体" w:hAnsi="宋体" w:eastAsia="宋体" w:cs="宋体"/>
          <w:color w:val="auto"/>
          <w:sz w:val="24"/>
          <w:szCs w:val="24"/>
          <w:highlight w:val="none"/>
        </w:rPr>
        <w:t>不能区分优劣顺序的，则通过抽签方式随机确定排名顺序。</w:t>
      </w:r>
    </w:p>
    <w:p w14:paraId="2DA5B22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评委在认真审阅响应文件的基础上，根据各响应文件的响应程度独立评判，不得统一打分。</w:t>
      </w:r>
    </w:p>
    <w:p w14:paraId="333C9EE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（一）磋商小组对供应商资格进行审查。</w:t>
      </w:r>
    </w:p>
    <w:p w14:paraId="1126B87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供应商资格不合格的，其响应文件判定为无效响应文件。</w:t>
      </w:r>
    </w:p>
    <w:p w14:paraId="7FA6AD3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（二）磋商小组对符合资格供应商的响应文件进行符合性审查。</w:t>
      </w:r>
    </w:p>
    <w:p w14:paraId="2D79965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未通过符合性审查的响应文件，将被判为不满足磋商文件实质性要求。</w:t>
      </w:r>
    </w:p>
    <w:p w14:paraId="341EABA9">
      <w:pPr>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val="zh-CN"/>
        </w:rPr>
        <w:t>）商务技术分：</w:t>
      </w:r>
      <w:r>
        <w:rPr>
          <w:rFonts w:hint="eastAsia" w:ascii="宋体" w:hAnsi="宋体" w:eastAsia="宋体" w:cs="宋体"/>
          <w:color w:val="auto"/>
          <w:sz w:val="24"/>
          <w:szCs w:val="24"/>
          <w:highlight w:val="none"/>
          <w:lang w:val="en-US" w:eastAsia="zh-CN"/>
        </w:rPr>
        <w:t>90分</w:t>
      </w:r>
    </w:p>
    <w:p w14:paraId="74CB567B">
      <w:pPr>
        <w:numPr>
          <w:ilvl w:val="0"/>
          <w:numId w:val="0"/>
        </w:numPr>
        <w:spacing w:line="360" w:lineRule="auto"/>
        <w:ind w:firstLine="480" w:firstLineChars="0"/>
        <w:jc w:val="left"/>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各供应商得分为磋商小组成员评分的算术平均分，分值保留小数点后两位</w:t>
      </w:r>
      <w:r>
        <w:rPr>
          <w:rFonts w:hint="eastAsia" w:ascii="宋体" w:hAnsi="宋体" w:eastAsia="宋体" w:cs="宋体"/>
          <w:color w:val="auto"/>
          <w:sz w:val="24"/>
          <w:szCs w:val="21"/>
          <w:highlight w:val="none"/>
          <w:lang w:eastAsia="zh-CN"/>
        </w:rPr>
        <w:t>。</w:t>
      </w:r>
    </w:p>
    <w:tbl>
      <w:tblPr>
        <w:tblStyle w:val="34"/>
        <w:tblW w:w="9342" w:type="dxa"/>
        <w:tblInd w:w="-7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4"/>
        <w:gridCol w:w="1207"/>
        <w:gridCol w:w="6570"/>
        <w:gridCol w:w="801"/>
      </w:tblGrid>
      <w:tr w14:paraId="3C3CD4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764" w:type="dxa"/>
            <w:tcBorders>
              <w:top w:val="single" w:color="auto" w:sz="4" w:space="0"/>
              <w:bottom w:val="single" w:color="auto" w:sz="4" w:space="0"/>
              <w:right w:val="single" w:color="auto" w:sz="4" w:space="0"/>
            </w:tcBorders>
            <w:noWrap w:val="0"/>
            <w:vAlign w:val="center"/>
          </w:tcPr>
          <w:p w14:paraId="74C936EB">
            <w:pPr>
              <w:keepNext w:val="0"/>
              <w:keepLines w:val="0"/>
              <w:pageBreakBefore w:val="0"/>
              <w:kinsoku/>
              <w:wordWrap/>
              <w:overflowPunct/>
              <w:topLinePunct w:val="0"/>
              <w:autoSpaceDE w:val="0"/>
              <w:autoSpaceDN w:val="0"/>
              <w:bidi w:val="0"/>
              <w:adjustRightInd w:val="0"/>
              <w:spacing w:line="24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1207" w:type="dxa"/>
            <w:tcBorders>
              <w:top w:val="single" w:color="auto" w:sz="4" w:space="0"/>
              <w:bottom w:val="single" w:color="auto" w:sz="4" w:space="0"/>
              <w:right w:val="single" w:color="auto" w:sz="4" w:space="0"/>
            </w:tcBorders>
            <w:noWrap w:val="0"/>
            <w:vAlign w:val="center"/>
          </w:tcPr>
          <w:p w14:paraId="3719FEAF">
            <w:pPr>
              <w:keepNext w:val="0"/>
              <w:keepLines w:val="0"/>
              <w:pageBreakBefore w:val="0"/>
              <w:kinsoku/>
              <w:wordWrap/>
              <w:overflowPunct/>
              <w:topLinePunct w:val="0"/>
              <w:autoSpaceDE w:val="0"/>
              <w:autoSpaceDN w:val="0"/>
              <w:bidi w:val="0"/>
              <w:adjustRightInd w:val="0"/>
              <w:spacing w:line="24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评标项目</w:t>
            </w:r>
          </w:p>
        </w:tc>
        <w:tc>
          <w:tcPr>
            <w:tcW w:w="6570" w:type="dxa"/>
            <w:tcBorders>
              <w:top w:val="single" w:color="auto" w:sz="4" w:space="0"/>
              <w:left w:val="single" w:color="auto" w:sz="4" w:space="0"/>
              <w:bottom w:val="single" w:color="auto" w:sz="4" w:space="0"/>
              <w:right w:val="single" w:color="auto" w:sz="4" w:space="0"/>
            </w:tcBorders>
            <w:noWrap w:val="0"/>
            <w:vAlign w:val="center"/>
          </w:tcPr>
          <w:p w14:paraId="2B134528">
            <w:pPr>
              <w:keepNext w:val="0"/>
              <w:keepLines w:val="0"/>
              <w:pageBreakBefore w:val="0"/>
              <w:kinsoku/>
              <w:wordWrap/>
              <w:overflowPunct/>
              <w:topLinePunct w:val="0"/>
              <w:autoSpaceDE w:val="0"/>
              <w:autoSpaceDN w:val="0"/>
              <w:bidi w:val="0"/>
              <w:adjustRightInd w:val="0"/>
              <w:spacing w:line="24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评分要求及得分要点</w:t>
            </w:r>
          </w:p>
        </w:tc>
        <w:tc>
          <w:tcPr>
            <w:tcW w:w="801" w:type="dxa"/>
            <w:tcBorders>
              <w:top w:val="single" w:color="auto" w:sz="4" w:space="0"/>
              <w:left w:val="single" w:color="auto" w:sz="4" w:space="0"/>
              <w:bottom w:val="single" w:color="auto" w:sz="4" w:space="0"/>
            </w:tcBorders>
            <w:noWrap w:val="0"/>
            <w:vAlign w:val="center"/>
          </w:tcPr>
          <w:p w14:paraId="6FF627DC">
            <w:pPr>
              <w:keepNext w:val="0"/>
              <w:keepLines w:val="0"/>
              <w:pageBreakBefore w:val="0"/>
              <w:kinsoku/>
              <w:wordWrap/>
              <w:overflowPunct/>
              <w:topLinePunct w:val="0"/>
              <w:autoSpaceDE w:val="0"/>
              <w:autoSpaceDN w:val="0"/>
              <w:bidi w:val="0"/>
              <w:adjustRightInd w:val="0"/>
              <w:spacing w:line="24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分值</w:t>
            </w:r>
          </w:p>
        </w:tc>
      </w:tr>
      <w:tr w14:paraId="5EC5C6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69" w:hRule="atLeast"/>
        </w:trPr>
        <w:tc>
          <w:tcPr>
            <w:tcW w:w="764" w:type="dxa"/>
            <w:tcBorders>
              <w:top w:val="single" w:color="auto" w:sz="4" w:space="0"/>
              <w:bottom w:val="single" w:color="auto" w:sz="4" w:space="0"/>
              <w:right w:val="single" w:color="auto" w:sz="4" w:space="0"/>
            </w:tcBorders>
            <w:noWrap w:val="0"/>
            <w:vAlign w:val="center"/>
          </w:tcPr>
          <w:p w14:paraId="1A4AE2A5">
            <w:pPr>
              <w:keepNext w:val="0"/>
              <w:keepLines w:val="0"/>
              <w:pageBreakBefore w:val="0"/>
              <w:kinsoku/>
              <w:wordWrap/>
              <w:overflowPunct/>
              <w:topLinePunct w:val="0"/>
              <w:autoSpaceDE w:val="0"/>
              <w:autoSpaceDN w:val="0"/>
              <w:bidi w:val="0"/>
              <w:adjustRightInd w:val="0"/>
              <w:spacing w:line="24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1207" w:type="dxa"/>
            <w:tcBorders>
              <w:top w:val="single" w:color="auto" w:sz="4" w:space="0"/>
              <w:left w:val="single" w:color="auto" w:sz="4" w:space="0"/>
              <w:bottom w:val="single" w:color="auto" w:sz="4" w:space="0"/>
              <w:right w:val="single" w:color="auto" w:sz="4" w:space="0"/>
            </w:tcBorders>
            <w:noWrap w:val="0"/>
            <w:vAlign w:val="center"/>
          </w:tcPr>
          <w:p w14:paraId="05B0DA49">
            <w:pPr>
              <w:keepNext w:val="0"/>
              <w:keepLines w:val="0"/>
              <w:pageBreakBefore w:val="0"/>
              <w:widowControl/>
              <w:kinsoku/>
              <w:wordWrap/>
              <w:overflowPunct/>
              <w:topLinePunct w:val="0"/>
              <w:bidi w:val="0"/>
              <w:snapToGrid w:val="0"/>
              <w:spacing w:line="240" w:lineRule="auto"/>
              <w:jc w:val="center"/>
              <w:textAlignment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供应商综合实力</w:t>
            </w:r>
          </w:p>
        </w:tc>
        <w:tc>
          <w:tcPr>
            <w:tcW w:w="6570" w:type="dxa"/>
            <w:tcBorders>
              <w:top w:val="single" w:color="auto" w:sz="4" w:space="0"/>
              <w:left w:val="single" w:color="auto" w:sz="4" w:space="0"/>
              <w:bottom w:val="single" w:color="auto" w:sz="4" w:space="0"/>
              <w:right w:val="single" w:color="auto" w:sz="4" w:space="0"/>
            </w:tcBorders>
            <w:noWrap w:val="0"/>
            <w:vAlign w:val="center"/>
          </w:tcPr>
          <w:p w14:paraId="1A7E4F67">
            <w:pPr>
              <w:keepNext w:val="0"/>
              <w:keepLines w:val="0"/>
              <w:pageBreakBefore w:val="0"/>
              <w:widowControl/>
              <w:kinsoku/>
              <w:wordWrap/>
              <w:overflowPunct/>
              <w:topLinePunct w:val="0"/>
              <w:bidi w:val="0"/>
              <w:adjustRightInd w:val="0"/>
              <w:snapToGrid w:val="0"/>
              <w:spacing w:line="240" w:lineRule="auto"/>
              <w:jc w:val="left"/>
              <w:rPr>
                <w:rFonts w:hint="eastAsia" w:ascii="宋体" w:hAnsi="宋体" w:eastAsia="宋体" w:cs="宋体"/>
                <w:color w:val="auto"/>
                <w:sz w:val="24"/>
                <w:szCs w:val="24"/>
                <w:highlight w:val="none"/>
              </w:rPr>
            </w:pPr>
          </w:p>
          <w:p w14:paraId="355E5B01">
            <w:pPr>
              <w:keepNext w:val="0"/>
              <w:keepLines w:val="0"/>
              <w:pageBreakBefore w:val="0"/>
              <w:widowControl/>
              <w:kinsoku/>
              <w:wordWrap/>
              <w:overflowPunct/>
              <w:topLinePunct w:val="0"/>
              <w:bidi w:val="0"/>
              <w:adjustRightInd w:val="0"/>
              <w:snapToGrid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自</w:t>
            </w:r>
            <w:r>
              <w:rPr>
                <w:rFonts w:hint="eastAsia" w:ascii="宋体" w:hAnsi="宋体" w:eastAsia="宋体" w:cs="宋体"/>
                <w:color w:val="auto"/>
                <w:sz w:val="24"/>
                <w:szCs w:val="24"/>
                <w:highlight w:val="none"/>
              </w:rPr>
              <w:t>2020年1月1日（以获奖证</w:t>
            </w:r>
            <w:r>
              <w:rPr>
                <w:rFonts w:hint="eastAsia" w:ascii="宋体" w:hAnsi="宋体" w:eastAsia="宋体" w:cs="宋体"/>
                <w:color w:val="auto"/>
                <w:sz w:val="24"/>
                <w:szCs w:val="24"/>
                <w:highlight w:val="none"/>
                <w:lang w:eastAsia="zh-CN"/>
              </w:rPr>
              <w:t>明材料</w:t>
            </w:r>
            <w:r>
              <w:rPr>
                <w:rFonts w:hint="eastAsia" w:ascii="宋体" w:hAnsi="宋体" w:eastAsia="宋体" w:cs="宋体"/>
                <w:color w:val="auto"/>
                <w:sz w:val="24"/>
                <w:szCs w:val="24"/>
                <w:highlight w:val="none"/>
                <w:lang w:val="en-US" w:eastAsia="zh-CN"/>
              </w:rPr>
              <w:t>落款</w:t>
            </w:r>
            <w:r>
              <w:rPr>
                <w:rFonts w:hint="eastAsia" w:ascii="宋体" w:hAnsi="宋体" w:eastAsia="宋体" w:cs="宋体"/>
                <w:color w:val="auto"/>
                <w:sz w:val="24"/>
                <w:szCs w:val="24"/>
                <w:highlight w:val="none"/>
              </w:rPr>
              <w:t>时间为准）以来，承担过类似</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交通工程第三方安全咨询项目获得过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省级</w:t>
            </w:r>
            <w:r>
              <w:rPr>
                <w:rFonts w:hint="eastAsia" w:ascii="宋体" w:hAnsi="宋体" w:eastAsia="宋体" w:cs="宋体"/>
                <w:color w:val="auto"/>
                <w:sz w:val="24"/>
                <w:szCs w:val="24"/>
                <w:highlight w:val="none"/>
                <w:lang w:val="en-US" w:eastAsia="zh-CN"/>
              </w:rPr>
              <w:t>平安工程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的，每</w:t>
            </w:r>
            <w:r>
              <w:rPr>
                <w:rFonts w:hint="eastAsia" w:ascii="宋体" w:hAnsi="宋体" w:eastAsia="宋体" w:cs="宋体"/>
                <w:color w:val="auto"/>
                <w:sz w:val="24"/>
                <w:szCs w:val="24"/>
                <w:highlight w:val="none"/>
                <w:lang w:val="en-US" w:eastAsia="zh-CN"/>
              </w:rPr>
              <w:t>有一项</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获得过“部级平安工程”的，</w:t>
            </w:r>
            <w:r>
              <w:rPr>
                <w:rFonts w:hint="eastAsia" w:ascii="宋体" w:hAnsi="宋体" w:eastAsia="宋体" w:cs="宋体"/>
                <w:color w:val="auto"/>
                <w:sz w:val="24"/>
                <w:szCs w:val="24"/>
                <w:highlight w:val="none"/>
              </w:rPr>
              <w:t>每</w:t>
            </w:r>
            <w:r>
              <w:rPr>
                <w:rFonts w:hint="eastAsia" w:ascii="宋体" w:hAnsi="宋体" w:eastAsia="宋体" w:cs="宋体"/>
                <w:color w:val="auto"/>
                <w:sz w:val="24"/>
                <w:szCs w:val="24"/>
                <w:highlight w:val="none"/>
                <w:lang w:val="en-US" w:eastAsia="zh-CN"/>
              </w:rPr>
              <w:t>有一项</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本项最高得15分。</w:t>
            </w:r>
          </w:p>
          <w:p w14:paraId="6F832D1A">
            <w:pPr>
              <w:keepNext w:val="0"/>
              <w:keepLines w:val="0"/>
              <w:pageBreakBefore w:val="0"/>
              <w:widowControl/>
              <w:kinsoku/>
              <w:wordWrap/>
              <w:overflowPunct/>
              <w:topLinePunct w:val="0"/>
              <w:bidi w:val="0"/>
              <w:adjustRightInd w:val="0"/>
              <w:snapToGrid w:val="0"/>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证明材料：</w:t>
            </w:r>
            <w:r>
              <w:rPr>
                <w:rFonts w:hint="eastAsia" w:ascii="宋体" w:hAnsi="宋体" w:eastAsia="宋体" w:cs="宋体"/>
                <w:color w:val="auto"/>
                <w:sz w:val="24"/>
                <w:szCs w:val="24"/>
                <w:highlight w:val="none"/>
              </w:rPr>
              <w:t>提供获奖证</w:t>
            </w:r>
            <w:r>
              <w:rPr>
                <w:rFonts w:hint="eastAsia" w:ascii="宋体" w:hAnsi="宋体" w:eastAsia="宋体" w:cs="宋体"/>
                <w:color w:val="auto"/>
                <w:sz w:val="24"/>
                <w:szCs w:val="24"/>
                <w:highlight w:val="none"/>
                <w:lang w:eastAsia="zh-CN"/>
              </w:rPr>
              <w:t>明材料的</w:t>
            </w:r>
            <w:r>
              <w:rPr>
                <w:rFonts w:hint="eastAsia" w:ascii="宋体" w:hAnsi="宋体" w:eastAsia="宋体" w:cs="宋体"/>
                <w:color w:val="auto"/>
                <w:sz w:val="24"/>
                <w:szCs w:val="24"/>
                <w:highlight w:val="none"/>
              </w:rPr>
              <w:t>复印件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或扫描件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加盖供应商公章，</w:t>
            </w:r>
            <w:r>
              <w:rPr>
                <w:rFonts w:hint="eastAsia" w:ascii="宋体" w:hAnsi="宋体" w:eastAsia="宋体" w:cs="宋体"/>
                <w:color w:val="auto"/>
                <w:sz w:val="24"/>
                <w:szCs w:val="24"/>
                <w:highlight w:val="none"/>
                <w:lang w:val="en-US" w:eastAsia="zh-CN"/>
              </w:rPr>
              <w:t>否则不得分</w:t>
            </w:r>
            <w:r>
              <w:rPr>
                <w:rFonts w:hint="eastAsia" w:ascii="宋体" w:hAnsi="宋体" w:eastAsia="宋体" w:cs="宋体"/>
                <w:color w:val="auto"/>
                <w:sz w:val="24"/>
                <w:szCs w:val="24"/>
                <w:highlight w:val="none"/>
              </w:rPr>
              <w:t>。</w:t>
            </w:r>
          </w:p>
          <w:p w14:paraId="7724B0F3">
            <w:pPr>
              <w:pStyle w:val="2"/>
              <w:keepNext w:val="0"/>
              <w:keepLines w:val="0"/>
              <w:pageBreakBefore w:val="0"/>
              <w:kinsoku/>
              <w:wordWrap/>
              <w:overflowPunct/>
              <w:topLinePunct w:val="0"/>
              <w:bidi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注：同一项目获得多个奖项的仅计分一次。</w:t>
            </w:r>
          </w:p>
          <w:p w14:paraId="59462EF6">
            <w:pPr>
              <w:rPr>
                <w:rFonts w:hint="eastAsia"/>
                <w:color w:val="auto"/>
                <w:highlight w:val="none"/>
                <w:lang w:val="en-US" w:eastAsia="zh-CN"/>
              </w:rPr>
            </w:pPr>
          </w:p>
        </w:tc>
        <w:tc>
          <w:tcPr>
            <w:tcW w:w="801" w:type="dxa"/>
            <w:tcBorders>
              <w:top w:val="single" w:color="auto" w:sz="4" w:space="0"/>
              <w:left w:val="single" w:color="auto" w:sz="4" w:space="0"/>
              <w:bottom w:val="single" w:color="auto" w:sz="4" w:space="0"/>
            </w:tcBorders>
            <w:noWrap w:val="0"/>
            <w:vAlign w:val="center"/>
          </w:tcPr>
          <w:p w14:paraId="592F667C">
            <w:pPr>
              <w:keepNext w:val="0"/>
              <w:keepLines w:val="0"/>
              <w:pageBreakBefore w:val="0"/>
              <w:widowControl/>
              <w:kinsoku/>
              <w:wordWrap/>
              <w:overflowPunct/>
              <w:topLinePunct w:val="0"/>
              <w:bidi w:val="0"/>
              <w:snapToGrid w:val="0"/>
              <w:spacing w:line="240" w:lineRule="auto"/>
              <w:jc w:val="center"/>
              <w:textAlignment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15</w:t>
            </w:r>
          </w:p>
        </w:tc>
      </w:tr>
      <w:tr w14:paraId="3E7B4C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35" w:hRule="atLeast"/>
        </w:trPr>
        <w:tc>
          <w:tcPr>
            <w:tcW w:w="764" w:type="dxa"/>
            <w:tcBorders>
              <w:top w:val="single" w:color="auto" w:sz="4" w:space="0"/>
              <w:bottom w:val="single" w:color="auto" w:sz="4" w:space="0"/>
              <w:right w:val="single" w:color="auto" w:sz="4" w:space="0"/>
            </w:tcBorders>
            <w:noWrap w:val="0"/>
            <w:vAlign w:val="center"/>
          </w:tcPr>
          <w:p w14:paraId="63964458">
            <w:pPr>
              <w:keepNext w:val="0"/>
              <w:keepLines w:val="0"/>
              <w:pageBreakBefore w:val="0"/>
              <w:kinsoku/>
              <w:wordWrap/>
              <w:overflowPunct/>
              <w:topLinePunct w:val="0"/>
              <w:autoSpaceDE w:val="0"/>
              <w:autoSpaceDN w:val="0"/>
              <w:bidi w:val="0"/>
              <w:adjustRightInd w:val="0"/>
              <w:spacing w:line="24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w:t>
            </w:r>
          </w:p>
        </w:tc>
        <w:tc>
          <w:tcPr>
            <w:tcW w:w="1207" w:type="dxa"/>
            <w:tcBorders>
              <w:top w:val="single" w:color="auto" w:sz="4" w:space="0"/>
              <w:left w:val="single" w:color="auto" w:sz="4" w:space="0"/>
              <w:bottom w:val="single" w:color="auto" w:sz="4" w:space="0"/>
              <w:right w:val="single" w:color="auto" w:sz="4" w:space="0"/>
            </w:tcBorders>
            <w:noWrap w:val="0"/>
            <w:vAlign w:val="center"/>
          </w:tcPr>
          <w:p w14:paraId="1D15F078">
            <w:pPr>
              <w:keepNext w:val="0"/>
              <w:keepLines w:val="0"/>
              <w:pageBreakBefore w:val="0"/>
              <w:widowControl/>
              <w:kinsoku/>
              <w:wordWrap/>
              <w:overflowPunct/>
              <w:topLinePunct w:val="0"/>
              <w:bidi w:val="0"/>
              <w:snapToGrid w:val="0"/>
              <w:spacing w:line="240" w:lineRule="auto"/>
              <w:jc w:val="center"/>
              <w:textAlignment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供应商</w:t>
            </w:r>
          </w:p>
          <w:p w14:paraId="021AF7DE">
            <w:pPr>
              <w:keepNext w:val="0"/>
              <w:keepLines w:val="0"/>
              <w:pageBreakBefore w:val="0"/>
              <w:widowControl/>
              <w:kinsoku/>
              <w:wordWrap/>
              <w:overflowPunct/>
              <w:topLinePunct w:val="0"/>
              <w:bidi w:val="0"/>
              <w:snapToGrid w:val="0"/>
              <w:spacing w:line="240" w:lineRule="auto"/>
              <w:jc w:val="center"/>
              <w:textAlignment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业绩</w:t>
            </w:r>
          </w:p>
        </w:tc>
        <w:tc>
          <w:tcPr>
            <w:tcW w:w="6570" w:type="dxa"/>
            <w:tcBorders>
              <w:top w:val="single" w:color="auto" w:sz="4" w:space="0"/>
              <w:left w:val="single" w:color="auto" w:sz="4" w:space="0"/>
              <w:bottom w:val="single" w:color="auto" w:sz="4" w:space="0"/>
              <w:right w:val="single" w:color="auto" w:sz="4" w:space="0"/>
            </w:tcBorders>
            <w:noWrap w:val="0"/>
            <w:vAlign w:val="center"/>
          </w:tcPr>
          <w:p w14:paraId="05A2DF63">
            <w:pPr>
              <w:keepNext w:val="0"/>
              <w:keepLines w:val="0"/>
              <w:pageBreakBefore w:val="0"/>
              <w:widowControl/>
              <w:kinsoku/>
              <w:wordWrap/>
              <w:overflowPunct/>
              <w:topLinePunct w:val="0"/>
              <w:bidi w:val="0"/>
              <w:adjustRightInd w:val="0"/>
              <w:snapToGrid w:val="0"/>
              <w:spacing w:line="240" w:lineRule="auto"/>
              <w:jc w:val="left"/>
              <w:rPr>
                <w:rFonts w:hint="eastAsia" w:ascii="宋体" w:hAnsi="宋体" w:eastAsia="宋体" w:cs="宋体"/>
                <w:color w:val="auto"/>
                <w:sz w:val="24"/>
                <w:szCs w:val="24"/>
                <w:highlight w:val="none"/>
                <w:lang w:val="en-US" w:eastAsia="zh-CN"/>
              </w:rPr>
            </w:pPr>
          </w:p>
          <w:p w14:paraId="3350ED66">
            <w:pPr>
              <w:keepNext w:val="0"/>
              <w:keepLines w:val="0"/>
              <w:pageBreakBefore w:val="0"/>
              <w:widowControl/>
              <w:kinsoku/>
              <w:wordWrap/>
              <w:overflowPunct/>
              <w:topLinePunct w:val="0"/>
              <w:bidi w:val="0"/>
              <w:adjustRightInd w:val="0"/>
              <w:snapToGrid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供应商自2020年1月1日（以合同签订时间为准）以来，承担过类似交通工程第三方安全技术咨询服务项目的，每有一个业绩得5分，最高得15分。</w:t>
            </w:r>
          </w:p>
          <w:p w14:paraId="7324C3ED">
            <w:pPr>
              <w:keepNext w:val="0"/>
              <w:keepLines w:val="0"/>
              <w:pageBreakBefore w:val="0"/>
              <w:widowControl/>
              <w:kinsoku/>
              <w:wordWrap/>
              <w:overflowPunct/>
              <w:topLinePunct w:val="0"/>
              <w:bidi w:val="0"/>
              <w:adjustRightInd w:val="0"/>
              <w:snapToGrid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证明材料：提供合同的复印件（或扫描件）加盖供应商公章（若合同未能充分证明本业绩要求，则供应商需再提供中标（成交）通知书，否则该业绩不予认可），否则不得分。</w:t>
            </w:r>
          </w:p>
          <w:p w14:paraId="35E34591">
            <w:pPr>
              <w:keepNext w:val="0"/>
              <w:keepLines w:val="0"/>
              <w:pageBreakBefore w:val="0"/>
              <w:widowControl/>
              <w:kinsoku/>
              <w:wordWrap/>
              <w:overflowPunct/>
              <w:topLinePunct w:val="0"/>
              <w:bidi w:val="0"/>
              <w:adjustRightInd w:val="0"/>
              <w:snapToGrid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注：此项供应商业绩与项目负责人业绩如为同一项目业绩不重复计分。</w:t>
            </w:r>
          </w:p>
          <w:p w14:paraId="0AACE51B">
            <w:pPr>
              <w:pStyle w:val="2"/>
              <w:rPr>
                <w:rFonts w:hint="eastAsia"/>
                <w:color w:val="auto"/>
                <w:highlight w:val="none"/>
                <w:lang w:val="en-US" w:eastAsia="zh-CN"/>
              </w:rPr>
            </w:pPr>
          </w:p>
        </w:tc>
        <w:tc>
          <w:tcPr>
            <w:tcW w:w="801" w:type="dxa"/>
            <w:tcBorders>
              <w:top w:val="single" w:color="auto" w:sz="4" w:space="0"/>
              <w:left w:val="single" w:color="auto" w:sz="4" w:space="0"/>
              <w:bottom w:val="single" w:color="auto" w:sz="4" w:space="0"/>
            </w:tcBorders>
            <w:noWrap w:val="0"/>
            <w:vAlign w:val="center"/>
          </w:tcPr>
          <w:p w14:paraId="018EEC55">
            <w:pPr>
              <w:keepNext w:val="0"/>
              <w:keepLines w:val="0"/>
              <w:pageBreakBefore w:val="0"/>
              <w:widowControl/>
              <w:kinsoku/>
              <w:wordWrap/>
              <w:overflowPunct/>
              <w:topLinePunct w:val="0"/>
              <w:bidi w:val="0"/>
              <w:adjustRightInd w:val="0"/>
              <w:snapToGrid w:val="0"/>
              <w:spacing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15</w:t>
            </w:r>
          </w:p>
        </w:tc>
      </w:tr>
      <w:tr w14:paraId="78C5E7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42" w:hRule="atLeast"/>
        </w:trPr>
        <w:tc>
          <w:tcPr>
            <w:tcW w:w="764" w:type="dxa"/>
            <w:tcBorders>
              <w:top w:val="single" w:color="auto" w:sz="4" w:space="0"/>
              <w:bottom w:val="single" w:color="auto" w:sz="4" w:space="0"/>
              <w:right w:val="single" w:color="auto" w:sz="4" w:space="0"/>
            </w:tcBorders>
            <w:noWrap w:val="0"/>
            <w:vAlign w:val="center"/>
          </w:tcPr>
          <w:p w14:paraId="3269879A">
            <w:pPr>
              <w:keepNext w:val="0"/>
              <w:keepLines w:val="0"/>
              <w:pageBreakBefore w:val="0"/>
              <w:widowControl/>
              <w:kinsoku/>
              <w:wordWrap/>
              <w:overflowPunct/>
              <w:topLinePunct w:val="0"/>
              <w:bidi w:val="0"/>
              <w:snapToGrid w:val="0"/>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207" w:type="dxa"/>
            <w:tcBorders>
              <w:top w:val="single" w:color="auto" w:sz="4" w:space="0"/>
              <w:left w:val="single" w:color="auto" w:sz="4" w:space="0"/>
              <w:bottom w:val="single" w:color="auto" w:sz="4" w:space="0"/>
              <w:right w:val="single" w:color="auto" w:sz="4" w:space="0"/>
            </w:tcBorders>
            <w:noWrap w:val="0"/>
            <w:vAlign w:val="center"/>
          </w:tcPr>
          <w:p w14:paraId="2C43D320">
            <w:pPr>
              <w:keepNext w:val="0"/>
              <w:keepLines w:val="0"/>
              <w:pageBreakBefore w:val="0"/>
              <w:widowControl/>
              <w:kinsoku/>
              <w:wordWrap/>
              <w:overflowPunct/>
              <w:topLinePunct w:val="0"/>
              <w:bidi w:val="0"/>
              <w:snapToGrid w:val="0"/>
              <w:spacing w:line="240" w:lineRule="auto"/>
              <w:jc w:val="center"/>
              <w:textAlignment w:val="center"/>
              <w:rPr>
                <w:rFonts w:hint="eastAsia" w:ascii="宋体" w:hAnsi="宋体" w:eastAsia="宋体" w:cs="宋体"/>
                <w:bCs/>
                <w:color w:val="auto"/>
                <w:sz w:val="24"/>
                <w:szCs w:val="24"/>
                <w:highlight w:val="none"/>
                <w:lang w:val="en-GB" w:eastAsia="zh-CN"/>
              </w:rPr>
            </w:pPr>
            <w:r>
              <w:rPr>
                <w:rFonts w:hint="eastAsia" w:ascii="宋体" w:hAnsi="宋体" w:eastAsia="宋体" w:cs="宋体"/>
                <w:bCs/>
                <w:color w:val="auto"/>
                <w:sz w:val="24"/>
                <w:szCs w:val="24"/>
                <w:highlight w:val="none"/>
                <w:lang w:val="en-US" w:eastAsia="zh-CN"/>
              </w:rPr>
              <w:t>技术力量</w:t>
            </w:r>
          </w:p>
        </w:tc>
        <w:tc>
          <w:tcPr>
            <w:tcW w:w="6570" w:type="dxa"/>
            <w:tcBorders>
              <w:top w:val="single" w:color="auto" w:sz="4" w:space="0"/>
              <w:left w:val="single" w:color="auto" w:sz="4" w:space="0"/>
              <w:bottom w:val="single" w:color="auto" w:sz="4" w:space="0"/>
              <w:right w:val="single" w:color="auto" w:sz="4" w:space="0"/>
            </w:tcBorders>
            <w:noWrap w:val="0"/>
            <w:vAlign w:val="center"/>
          </w:tcPr>
          <w:p w14:paraId="287D3AB9">
            <w:pPr>
              <w:pStyle w:val="2"/>
              <w:keepNext w:val="0"/>
              <w:keepLines w:val="0"/>
              <w:pageBreakBefore w:val="0"/>
              <w:numPr>
                <w:ilvl w:val="0"/>
                <w:numId w:val="0"/>
              </w:numPr>
              <w:kinsoku/>
              <w:wordWrap/>
              <w:overflowPunct/>
              <w:topLinePunct w:val="0"/>
              <w:bidi w:val="0"/>
              <w:spacing w:after="0" w:line="240" w:lineRule="auto"/>
              <w:ind w:leftChars="0"/>
              <w:rPr>
                <w:rFonts w:hint="eastAsia" w:ascii="宋体" w:hAnsi="宋体" w:eastAsia="宋体" w:cs="宋体"/>
                <w:b w:val="0"/>
                <w:bCs/>
                <w:snapToGrid/>
                <w:color w:val="auto"/>
                <w:kern w:val="2"/>
                <w:sz w:val="24"/>
                <w:szCs w:val="24"/>
                <w:highlight w:val="none"/>
                <w:lang w:val="en-US" w:eastAsia="zh-CN" w:bidi="ar-SA"/>
              </w:rPr>
            </w:pPr>
            <w:r>
              <w:rPr>
                <w:rFonts w:hint="eastAsia" w:ascii="宋体" w:hAnsi="宋体" w:eastAsia="宋体" w:cs="宋体"/>
                <w:b w:val="0"/>
                <w:bCs/>
                <w:snapToGrid/>
                <w:color w:val="auto"/>
                <w:kern w:val="2"/>
                <w:sz w:val="24"/>
                <w:szCs w:val="24"/>
                <w:highlight w:val="none"/>
                <w:lang w:val="en-US" w:eastAsia="zh-CN" w:bidi="ar-SA"/>
              </w:rPr>
              <w:t>1.供应商拟派项目负责人自2020年1月1日（以合同签订日期为准）以来，担任过类似交通工程第三方安全技术咨询项目负责人的，</w:t>
            </w:r>
            <w:r>
              <w:rPr>
                <w:rFonts w:hint="eastAsia" w:ascii="宋体" w:hAnsi="宋体" w:eastAsia="宋体" w:cs="宋体"/>
                <w:color w:val="auto"/>
                <w:sz w:val="24"/>
                <w:szCs w:val="24"/>
                <w:highlight w:val="none"/>
                <w:lang w:val="en-US" w:eastAsia="zh-CN"/>
              </w:rPr>
              <w:t>每有一个业绩得5分，最高得15分</w:t>
            </w:r>
            <w:r>
              <w:rPr>
                <w:rFonts w:hint="eastAsia" w:ascii="宋体" w:hAnsi="宋体" w:eastAsia="宋体" w:cs="宋体"/>
                <w:b w:val="0"/>
                <w:bCs/>
                <w:snapToGrid/>
                <w:color w:val="auto"/>
                <w:kern w:val="2"/>
                <w:sz w:val="24"/>
                <w:szCs w:val="24"/>
                <w:highlight w:val="none"/>
                <w:lang w:val="en-US" w:eastAsia="zh-CN" w:bidi="ar-SA"/>
              </w:rPr>
              <w:t>。</w:t>
            </w:r>
          </w:p>
          <w:p w14:paraId="0319ECBA">
            <w:pPr>
              <w:keepNext w:val="0"/>
              <w:keepLines w:val="0"/>
              <w:pageBreakBefore w:val="0"/>
              <w:widowControl/>
              <w:kinsoku/>
              <w:wordWrap/>
              <w:overflowPunct/>
              <w:topLinePunct w:val="0"/>
              <w:bidi w:val="0"/>
              <w:adjustRightInd w:val="0"/>
              <w:snapToGrid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b w:val="0"/>
                <w:bCs/>
                <w:snapToGrid/>
                <w:color w:val="auto"/>
                <w:kern w:val="2"/>
                <w:sz w:val="24"/>
                <w:szCs w:val="24"/>
                <w:highlight w:val="none"/>
                <w:lang w:val="en-US" w:eastAsia="zh-CN" w:bidi="ar-SA"/>
              </w:rPr>
              <w:t>证明材料：</w:t>
            </w:r>
            <w:r>
              <w:rPr>
                <w:rFonts w:hint="eastAsia" w:ascii="宋体" w:hAnsi="宋体" w:eastAsia="宋体" w:cs="宋体"/>
                <w:color w:val="auto"/>
                <w:sz w:val="24"/>
                <w:szCs w:val="24"/>
                <w:highlight w:val="none"/>
                <w:lang w:val="en-US" w:eastAsia="zh-CN"/>
              </w:rPr>
              <w:t>提供合同的复印件（或扫描件）加盖供应商公章（若合同未能充分证明本业绩要求，则供应商需再提供中标（成交）通知书，否则该业绩不予认可），否则不得分。</w:t>
            </w:r>
          </w:p>
          <w:p w14:paraId="6CE52AA8">
            <w:pPr>
              <w:pStyle w:val="2"/>
              <w:keepNext w:val="0"/>
              <w:keepLines w:val="0"/>
              <w:pageBreakBefore w:val="0"/>
              <w:numPr>
                <w:ilvl w:val="0"/>
                <w:numId w:val="0"/>
              </w:numPr>
              <w:kinsoku/>
              <w:wordWrap/>
              <w:overflowPunct/>
              <w:topLinePunct w:val="0"/>
              <w:bidi w:val="0"/>
              <w:spacing w:after="0" w:line="240" w:lineRule="auto"/>
              <w:ind w:left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注：此项项目负责人业绩与供应商业绩如为同一项目业绩不重复计分。</w:t>
            </w:r>
          </w:p>
          <w:p w14:paraId="1C4E750C">
            <w:pPr>
              <w:keepNext w:val="0"/>
              <w:keepLines w:val="0"/>
              <w:pageBreakBefore w:val="0"/>
              <w:widowControl/>
              <w:kinsoku/>
              <w:wordWrap/>
              <w:overflowPunct/>
              <w:topLinePunct w:val="0"/>
              <w:bidi w:val="0"/>
              <w:adjustRightInd w:val="0"/>
              <w:snapToGrid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2.本项目拟派项目组人员（除项目负责人外）具有</w:t>
            </w:r>
            <w:r>
              <w:rPr>
                <w:rFonts w:hint="eastAsia" w:ascii="宋体" w:hAnsi="宋体" w:eastAsia="宋体" w:cs="宋体"/>
                <w:i w:val="0"/>
                <w:iCs w:val="0"/>
                <w:caps w:val="0"/>
                <w:color w:val="auto"/>
                <w:spacing w:val="0"/>
                <w:sz w:val="24"/>
                <w:szCs w:val="24"/>
                <w:highlight w:val="none"/>
                <w:shd w:val="clear" w:color="auto" w:fill="auto"/>
              </w:rPr>
              <w:t>有效的中级及以上</w:t>
            </w:r>
            <w:r>
              <w:rPr>
                <w:rFonts w:hint="eastAsia" w:ascii="宋体" w:hAnsi="宋体" w:eastAsia="宋体" w:cs="宋体"/>
                <w:color w:val="auto"/>
                <w:sz w:val="24"/>
                <w:szCs w:val="24"/>
                <w:highlight w:val="none"/>
                <w:lang w:val="en-US" w:eastAsia="zh-CN"/>
              </w:rPr>
              <w:t>国家注册安全工程师证书（建筑施工安全专业）的得5分。</w:t>
            </w:r>
          </w:p>
          <w:p w14:paraId="0B00003B">
            <w:pPr>
              <w:keepNext w:val="0"/>
              <w:keepLines w:val="0"/>
              <w:pageBreakBefore w:val="0"/>
              <w:widowControl/>
              <w:kinsoku/>
              <w:wordWrap/>
              <w:overflowPunct/>
              <w:topLinePunct w:val="0"/>
              <w:bidi w:val="0"/>
              <w:adjustRightInd w:val="0"/>
              <w:snapToGrid w:val="0"/>
              <w:spacing w:line="240" w:lineRule="auto"/>
              <w:jc w:val="left"/>
              <w:rPr>
                <w:rFonts w:hint="default"/>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证明材料：同时提供注册安全工程师证书及</w:t>
            </w:r>
            <w:r>
              <w:rPr>
                <w:rFonts w:hint="eastAsia" w:ascii="宋体" w:hAnsi="宋体" w:eastAsia="宋体" w:cs="宋体"/>
                <w:color w:val="auto"/>
                <w:sz w:val="24"/>
                <w:szCs w:val="24"/>
                <w:highlight w:val="none"/>
                <w:lang w:val="zh-CN" w:eastAsia="zh-CN"/>
              </w:rPr>
              <w:t>供应商为</w:t>
            </w:r>
            <w:r>
              <w:rPr>
                <w:rFonts w:hint="eastAsia" w:ascii="宋体" w:hAnsi="宋体" w:eastAsia="宋体" w:cs="宋体"/>
                <w:color w:val="auto"/>
                <w:sz w:val="24"/>
                <w:szCs w:val="24"/>
                <w:highlight w:val="none"/>
                <w:lang w:val="en-US" w:eastAsia="zh-CN"/>
              </w:rPr>
              <w:t>其</w:t>
            </w:r>
            <w:r>
              <w:rPr>
                <w:rFonts w:hint="eastAsia" w:ascii="宋体" w:hAnsi="宋体" w:eastAsia="宋体" w:cs="宋体"/>
                <w:color w:val="auto"/>
                <w:sz w:val="24"/>
                <w:szCs w:val="24"/>
                <w:highlight w:val="none"/>
                <w:lang w:val="zh-CN" w:eastAsia="zh-CN"/>
              </w:rPr>
              <w:t>缴纳的本采购公告发布之日前三个月内任意一个月的养老保险缴纳证明材料</w:t>
            </w:r>
            <w:r>
              <w:rPr>
                <w:rFonts w:hint="eastAsia" w:ascii="宋体" w:hAnsi="宋体" w:eastAsia="宋体" w:cs="宋体"/>
                <w:color w:val="auto"/>
                <w:sz w:val="24"/>
                <w:szCs w:val="24"/>
                <w:highlight w:val="none"/>
                <w:lang w:val="en-US" w:eastAsia="zh-CN"/>
              </w:rPr>
              <w:t>（社保缴费证明要求同项目负责人）的复印件（或扫描件）加盖供应商公章，否则不得分。</w:t>
            </w:r>
          </w:p>
        </w:tc>
        <w:tc>
          <w:tcPr>
            <w:tcW w:w="801" w:type="dxa"/>
            <w:tcBorders>
              <w:top w:val="single" w:color="auto" w:sz="4" w:space="0"/>
              <w:left w:val="single" w:color="auto" w:sz="4" w:space="0"/>
              <w:bottom w:val="single" w:color="auto" w:sz="4" w:space="0"/>
            </w:tcBorders>
            <w:noWrap w:val="0"/>
            <w:vAlign w:val="center"/>
          </w:tcPr>
          <w:p w14:paraId="43B5143E">
            <w:pPr>
              <w:keepNext w:val="0"/>
              <w:keepLines w:val="0"/>
              <w:pageBreakBefore w:val="0"/>
              <w:widowControl/>
              <w:kinsoku/>
              <w:wordWrap/>
              <w:overflowPunct/>
              <w:topLinePunct w:val="0"/>
              <w:bidi w:val="0"/>
              <w:snapToGrid w:val="0"/>
              <w:spacing w:line="240" w:lineRule="auto"/>
              <w:jc w:val="center"/>
              <w:textAlignment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20</w:t>
            </w:r>
          </w:p>
        </w:tc>
      </w:tr>
      <w:tr w14:paraId="0F4AFA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764" w:type="dxa"/>
            <w:vMerge w:val="restart"/>
            <w:tcBorders>
              <w:top w:val="single" w:color="auto" w:sz="4" w:space="0"/>
              <w:right w:val="single" w:color="auto" w:sz="4" w:space="0"/>
            </w:tcBorders>
            <w:noWrap w:val="0"/>
            <w:vAlign w:val="center"/>
          </w:tcPr>
          <w:p w14:paraId="340BA807">
            <w:pPr>
              <w:keepNext w:val="0"/>
              <w:keepLines w:val="0"/>
              <w:pageBreakBefore w:val="0"/>
              <w:widowControl/>
              <w:kinsoku/>
              <w:wordWrap/>
              <w:overflowPunct/>
              <w:topLinePunct w:val="0"/>
              <w:bidi w:val="0"/>
              <w:snapToGrid w:val="0"/>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207" w:type="dxa"/>
            <w:vMerge w:val="restart"/>
            <w:tcBorders>
              <w:top w:val="single" w:color="auto" w:sz="4" w:space="0"/>
              <w:left w:val="single" w:color="auto" w:sz="4" w:space="0"/>
              <w:right w:val="single" w:color="auto" w:sz="4" w:space="0"/>
            </w:tcBorders>
            <w:noWrap w:val="0"/>
            <w:vAlign w:val="center"/>
          </w:tcPr>
          <w:p w14:paraId="33159C75">
            <w:pPr>
              <w:keepNext w:val="0"/>
              <w:keepLines w:val="0"/>
              <w:pageBreakBefore w:val="0"/>
              <w:widowControl/>
              <w:kinsoku/>
              <w:wordWrap/>
              <w:overflowPunct/>
              <w:topLinePunct w:val="0"/>
              <w:bidi w:val="0"/>
              <w:snapToGrid w:val="0"/>
              <w:spacing w:line="240" w:lineRule="auto"/>
              <w:jc w:val="center"/>
              <w:textAlignment w:val="center"/>
              <w:rPr>
                <w:rFonts w:hint="eastAsia" w:ascii="宋体" w:hAnsi="宋体" w:eastAsia="宋体" w:cs="宋体"/>
                <w:bCs/>
                <w:color w:val="auto"/>
                <w:sz w:val="24"/>
                <w:szCs w:val="24"/>
                <w:highlight w:val="none"/>
                <w:lang w:val="en-GB" w:eastAsia="zh-CN"/>
              </w:rPr>
            </w:pPr>
            <w:r>
              <w:rPr>
                <w:rFonts w:hint="eastAsia" w:ascii="宋体" w:hAnsi="宋体" w:eastAsia="宋体" w:cs="宋体"/>
                <w:bCs/>
                <w:color w:val="auto"/>
                <w:sz w:val="24"/>
                <w:szCs w:val="24"/>
                <w:highlight w:val="none"/>
                <w:lang w:val="en-US" w:eastAsia="zh-CN"/>
              </w:rPr>
              <w:t>服务方案</w:t>
            </w:r>
          </w:p>
        </w:tc>
        <w:tc>
          <w:tcPr>
            <w:tcW w:w="6570" w:type="dxa"/>
            <w:tcBorders>
              <w:top w:val="single" w:color="auto" w:sz="4" w:space="0"/>
              <w:left w:val="single" w:color="auto" w:sz="4" w:space="0"/>
              <w:bottom w:val="single" w:color="auto" w:sz="4" w:space="0"/>
              <w:right w:val="single" w:color="auto" w:sz="4" w:space="0"/>
            </w:tcBorders>
            <w:noWrap w:val="0"/>
            <w:vAlign w:val="center"/>
          </w:tcPr>
          <w:p w14:paraId="6D0C4966">
            <w:pPr>
              <w:keepNext w:val="0"/>
              <w:keepLines w:val="0"/>
              <w:pageBreakBefore w:val="0"/>
              <w:widowControl/>
              <w:kinsoku/>
              <w:wordWrap/>
              <w:overflowPunct/>
              <w:topLinePunct w:val="0"/>
              <w:bidi w:val="0"/>
              <w:adjustRightInd w:val="0"/>
              <w:snapToGrid w:val="0"/>
              <w:spacing w:line="240" w:lineRule="auto"/>
              <w:jc w:val="left"/>
              <w:rPr>
                <w:rFonts w:hint="eastAsia" w:ascii="宋体" w:hAnsi="宋体" w:eastAsia="宋体" w:cs="宋体"/>
                <w:color w:val="auto"/>
                <w:sz w:val="24"/>
                <w:szCs w:val="24"/>
                <w:highlight w:val="none"/>
                <w:lang w:val="en-US" w:eastAsia="zh-CN"/>
              </w:rPr>
            </w:pPr>
          </w:p>
          <w:p w14:paraId="23236DED">
            <w:pPr>
              <w:keepNext w:val="0"/>
              <w:keepLines w:val="0"/>
              <w:pageBreakBefore w:val="0"/>
              <w:widowControl/>
              <w:kinsoku/>
              <w:wordWrap/>
              <w:overflowPunct/>
              <w:topLinePunct w:val="0"/>
              <w:bidi w:val="0"/>
              <w:adjustRightInd w:val="0"/>
              <w:snapToGrid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1.安全工作重点和难点分析（10分）：</w:t>
            </w:r>
            <w:r>
              <w:rPr>
                <w:rFonts w:hint="eastAsia" w:ascii="宋体" w:hAnsi="宋体" w:eastAsia="宋体" w:cs="宋体"/>
                <w:b w:val="0"/>
                <w:bCs/>
                <w:snapToGrid/>
                <w:color w:val="auto"/>
                <w:kern w:val="2"/>
                <w:sz w:val="24"/>
                <w:szCs w:val="24"/>
                <w:highlight w:val="none"/>
                <w:lang w:val="en-US" w:eastAsia="zh-CN" w:bidi="ar-SA"/>
              </w:rPr>
              <w:t>根据供应商提供的</w:t>
            </w:r>
            <w:r>
              <w:rPr>
                <w:rFonts w:hint="eastAsia" w:ascii="宋体" w:hAnsi="宋体" w:eastAsia="宋体" w:cs="宋体"/>
                <w:color w:val="auto"/>
                <w:sz w:val="24"/>
                <w:szCs w:val="24"/>
                <w:highlight w:val="none"/>
                <w:lang w:val="en-US" w:eastAsia="zh-CN"/>
              </w:rPr>
              <w:t>方案对重点和难点的认识是否全面、深入，相关措施是否科学、可行等进行综合评定。</w:t>
            </w:r>
          </w:p>
          <w:p w14:paraId="15CE67BB">
            <w:pPr>
              <w:keepNext w:val="0"/>
              <w:keepLines w:val="0"/>
              <w:pageBreakBefore w:val="0"/>
              <w:widowControl/>
              <w:kinsoku/>
              <w:wordWrap/>
              <w:overflowPunct/>
              <w:topLinePunct w:val="0"/>
              <w:bidi w:val="0"/>
              <w:adjustRightInd w:val="0"/>
              <w:snapToGrid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对重点和难点的认识全面、深入，相关措施科学、可行的得10分；</w:t>
            </w:r>
          </w:p>
          <w:p w14:paraId="18C847C0">
            <w:pPr>
              <w:keepNext w:val="0"/>
              <w:keepLines w:val="0"/>
              <w:pageBreakBefore w:val="0"/>
              <w:widowControl/>
              <w:kinsoku/>
              <w:wordWrap/>
              <w:overflowPunct/>
              <w:topLinePunct w:val="0"/>
              <w:bidi w:val="0"/>
              <w:adjustRightInd w:val="0"/>
              <w:snapToGrid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对重点和难点的认识较全面、较深入，相关措施较科学、较可行的得7分；</w:t>
            </w:r>
          </w:p>
          <w:p w14:paraId="18BE2567">
            <w:pPr>
              <w:keepNext w:val="0"/>
              <w:keepLines w:val="0"/>
              <w:pageBreakBefore w:val="0"/>
              <w:widowControl/>
              <w:kinsoku/>
              <w:wordWrap/>
              <w:overflowPunct/>
              <w:topLinePunct w:val="0"/>
              <w:bidi w:val="0"/>
              <w:adjustRightInd w:val="0"/>
              <w:snapToGrid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对重点和难点的认识基本全面，相关措施基本可行的得4分；</w:t>
            </w:r>
          </w:p>
          <w:p w14:paraId="39071EB1">
            <w:pPr>
              <w:keepNext w:val="0"/>
              <w:keepLines w:val="0"/>
              <w:pageBreakBefore w:val="0"/>
              <w:widowControl/>
              <w:kinsoku/>
              <w:wordWrap/>
              <w:overflowPunct/>
              <w:topLinePunct w:val="0"/>
              <w:bidi w:val="0"/>
              <w:adjustRightInd w:val="0"/>
              <w:snapToGrid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未提供不得分。</w:t>
            </w:r>
          </w:p>
          <w:p w14:paraId="0208695B">
            <w:pPr>
              <w:pStyle w:val="2"/>
              <w:rPr>
                <w:rFonts w:hint="eastAsia"/>
                <w:color w:val="auto"/>
                <w:highlight w:val="none"/>
                <w:lang w:val="en-US" w:eastAsia="zh-CN"/>
              </w:rPr>
            </w:pPr>
          </w:p>
        </w:tc>
        <w:tc>
          <w:tcPr>
            <w:tcW w:w="801" w:type="dxa"/>
            <w:vMerge w:val="restart"/>
            <w:tcBorders>
              <w:top w:val="single" w:color="auto" w:sz="4" w:space="0"/>
              <w:left w:val="single" w:color="auto" w:sz="4" w:space="0"/>
            </w:tcBorders>
            <w:noWrap w:val="0"/>
            <w:vAlign w:val="center"/>
          </w:tcPr>
          <w:p w14:paraId="2A6F73A1">
            <w:pPr>
              <w:keepNext w:val="0"/>
              <w:keepLines w:val="0"/>
              <w:pageBreakBefore w:val="0"/>
              <w:widowControl/>
              <w:kinsoku/>
              <w:wordWrap/>
              <w:overflowPunct/>
              <w:topLinePunct w:val="0"/>
              <w:bidi w:val="0"/>
              <w:adjustRightInd w:val="0"/>
              <w:snapToGrid w:val="0"/>
              <w:spacing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40</w:t>
            </w:r>
          </w:p>
        </w:tc>
      </w:tr>
      <w:tr w14:paraId="7ACD37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26" w:hRule="atLeast"/>
        </w:trPr>
        <w:tc>
          <w:tcPr>
            <w:tcW w:w="764" w:type="dxa"/>
            <w:vMerge w:val="continue"/>
            <w:tcBorders>
              <w:right w:val="single" w:color="auto" w:sz="4" w:space="0"/>
            </w:tcBorders>
            <w:noWrap w:val="0"/>
            <w:vAlign w:val="center"/>
          </w:tcPr>
          <w:p w14:paraId="7B3DC2BA">
            <w:pPr>
              <w:keepNext w:val="0"/>
              <w:keepLines w:val="0"/>
              <w:pageBreakBefore w:val="0"/>
              <w:widowControl/>
              <w:kinsoku/>
              <w:wordWrap/>
              <w:overflowPunct/>
              <w:topLinePunct w:val="0"/>
              <w:bidi w:val="0"/>
              <w:snapToGrid w:val="0"/>
              <w:spacing w:line="240" w:lineRule="auto"/>
              <w:jc w:val="center"/>
              <w:textAlignment w:val="center"/>
              <w:rPr>
                <w:rFonts w:hint="eastAsia" w:ascii="宋体" w:hAnsi="宋体" w:eastAsia="宋体" w:cs="宋体"/>
                <w:color w:val="auto"/>
                <w:sz w:val="24"/>
                <w:szCs w:val="24"/>
                <w:highlight w:val="none"/>
                <w:lang w:val="en-US" w:eastAsia="zh-CN"/>
              </w:rPr>
            </w:pPr>
          </w:p>
        </w:tc>
        <w:tc>
          <w:tcPr>
            <w:tcW w:w="1207" w:type="dxa"/>
            <w:vMerge w:val="continue"/>
            <w:tcBorders>
              <w:left w:val="single" w:color="auto" w:sz="4" w:space="0"/>
              <w:right w:val="single" w:color="auto" w:sz="4" w:space="0"/>
            </w:tcBorders>
            <w:noWrap w:val="0"/>
            <w:vAlign w:val="center"/>
          </w:tcPr>
          <w:p w14:paraId="48C33BE7">
            <w:pPr>
              <w:keepNext w:val="0"/>
              <w:keepLines w:val="0"/>
              <w:pageBreakBefore w:val="0"/>
              <w:widowControl/>
              <w:kinsoku/>
              <w:wordWrap/>
              <w:overflowPunct/>
              <w:topLinePunct w:val="0"/>
              <w:bidi w:val="0"/>
              <w:snapToGrid w:val="0"/>
              <w:spacing w:line="240" w:lineRule="auto"/>
              <w:jc w:val="center"/>
              <w:textAlignment w:val="center"/>
              <w:rPr>
                <w:rFonts w:hint="eastAsia" w:ascii="宋体" w:hAnsi="宋体" w:eastAsia="宋体" w:cs="宋体"/>
                <w:bCs/>
                <w:color w:val="auto"/>
                <w:sz w:val="24"/>
                <w:szCs w:val="24"/>
                <w:highlight w:val="none"/>
                <w:lang w:val="en-US" w:eastAsia="zh-CN"/>
              </w:rPr>
            </w:pPr>
          </w:p>
        </w:tc>
        <w:tc>
          <w:tcPr>
            <w:tcW w:w="6570" w:type="dxa"/>
            <w:tcBorders>
              <w:top w:val="single" w:color="auto" w:sz="4" w:space="0"/>
              <w:left w:val="single" w:color="auto" w:sz="4" w:space="0"/>
              <w:bottom w:val="single" w:color="auto" w:sz="4" w:space="0"/>
              <w:right w:val="single" w:color="auto" w:sz="4" w:space="0"/>
            </w:tcBorders>
            <w:noWrap w:val="0"/>
            <w:vAlign w:val="center"/>
          </w:tcPr>
          <w:p w14:paraId="7C17BB88">
            <w:pPr>
              <w:pStyle w:val="2"/>
              <w:keepNext w:val="0"/>
              <w:keepLines w:val="0"/>
              <w:pageBreakBefore w:val="0"/>
              <w:numPr>
                <w:ilvl w:val="0"/>
                <w:numId w:val="0"/>
              </w:numPr>
              <w:kinsoku/>
              <w:wordWrap/>
              <w:overflowPunct/>
              <w:topLinePunct w:val="0"/>
              <w:bidi w:val="0"/>
              <w:spacing w:after="0" w:line="240" w:lineRule="auto"/>
              <w:ind w:left="0" w:leftChars="0"/>
              <w:jc w:val="left"/>
              <w:rPr>
                <w:rFonts w:hint="eastAsia" w:ascii="宋体" w:hAnsi="宋体" w:eastAsia="宋体" w:cs="宋体"/>
                <w:b w:val="0"/>
                <w:bCs/>
                <w:snapToGrid/>
                <w:color w:val="auto"/>
                <w:kern w:val="2"/>
                <w:sz w:val="24"/>
                <w:szCs w:val="24"/>
                <w:highlight w:val="none"/>
                <w:lang w:val="en-US" w:eastAsia="zh-CN" w:bidi="ar-SA"/>
              </w:rPr>
            </w:pPr>
          </w:p>
          <w:p w14:paraId="1D41D2AA">
            <w:pPr>
              <w:pStyle w:val="2"/>
              <w:keepNext w:val="0"/>
              <w:keepLines w:val="0"/>
              <w:pageBreakBefore w:val="0"/>
              <w:numPr>
                <w:ilvl w:val="0"/>
                <w:numId w:val="0"/>
              </w:numPr>
              <w:kinsoku/>
              <w:wordWrap/>
              <w:overflowPunct/>
              <w:topLinePunct w:val="0"/>
              <w:bidi w:val="0"/>
              <w:spacing w:after="0" w:line="240" w:lineRule="auto"/>
              <w:ind w:left="0" w:leftChars="0"/>
              <w:jc w:val="left"/>
              <w:rPr>
                <w:rFonts w:hint="eastAsia" w:ascii="宋体" w:hAnsi="宋体" w:eastAsia="宋体" w:cs="宋体"/>
                <w:b w:val="0"/>
                <w:bCs/>
                <w:snapToGrid/>
                <w:color w:val="auto"/>
                <w:kern w:val="2"/>
                <w:sz w:val="24"/>
                <w:szCs w:val="24"/>
                <w:highlight w:val="none"/>
                <w:lang w:val="en-US" w:eastAsia="zh-CN" w:bidi="ar-SA"/>
              </w:rPr>
            </w:pPr>
            <w:r>
              <w:rPr>
                <w:rFonts w:hint="eastAsia" w:ascii="宋体" w:hAnsi="宋体" w:eastAsia="宋体" w:cs="宋体"/>
                <w:b w:val="0"/>
                <w:bCs/>
                <w:snapToGrid/>
                <w:color w:val="auto"/>
                <w:kern w:val="2"/>
                <w:sz w:val="24"/>
                <w:szCs w:val="24"/>
                <w:highlight w:val="none"/>
                <w:lang w:val="en-US" w:eastAsia="zh-CN" w:bidi="ar-SA"/>
              </w:rPr>
              <w:t>2.安全管理措施（10分）：根据供应商提供的解决方案或安全管理措施是否具有针对性，是否可行等进行综合评定。</w:t>
            </w:r>
          </w:p>
          <w:p w14:paraId="7757A1A8">
            <w:pPr>
              <w:pStyle w:val="2"/>
              <w:keepNext w:val="0"/>
              <w:keepLines w:val="0"/>
              <w:pageBreakBefore w:val="0"/>
              <w:numPr>
                <w:ilvl w:val="0"/>
                <w:numId w:val="0"/>
              </w:numPr>
              <w:kinsoku/>
              <w:wordWrap/>
              <w:overflowPunct/>
              <w:topLinePunct w:val="0"/>
              <w:bidi w:val="0"/>
              <w:spacing w:after="0" w:line="240" w:lineRule="auto"/>
              <w:ind w:left="0" w:leftChars="0"/>
              <w:jc w:val="left"/>
              <w:rPr>
                <w:rFonts w:hint="eastAsia" w:ascii="宋体" w:hAnsi="宋体" w:eastAsia="宋体" w:cs="宋体"/>
                <w:b w:val="0"/>
                <w:bCs/>
                <w:snapToGrid/>
                <w:color w:val="auto"/>
                <w:kern w:val="2"/>
                <w:sz w:val="24"/>
                <w:szCs w:val="24"/>
                <w:highlight w:val="none"/>
                <w:lang w:val="en-US" w:eastAsia="zh-CN" w:bidi="ar-SA"/>
              </w:rPr>
            </w:pPr>
            <w:r>
              <w:rPr>
                <w:rFonts w:hint="eastAsia" w:ascii="宋体" w:hAnsi="宋体" w:eastAsia="宋体" w:cs="宋体"/>
                <w:b w:val="0"/>
                <w:bCs/>
                <w:snapToGrid/>
                <w:color w:val="auto"/>
                <w:kern w:val="2"/>
                <w:sz w:val="24"/>
                <w:szCs w:val="24"/>
                <w:highlight w:val="none"/>
                <w:lang w:val="en-US" w:eastAsia="zh-CN" w:bidi="ar-SA"/>
              </w:rPr>
              <w:t>方案或安全管理措施有较强针对性，可行的得10分；</w:t>
            </w:r>
          </w:p>
          <w:p w14:paraId="6CFF4FFF">
            <w:pPr>
              <w:pStyle w:val="2"/>
              <w:keepNext w:val="0"/>
              <w:keepLines w:val="0"/>
              <w:pageBreakBefore w:val="0"/>
              <w:numPr>
                <w:ilvl w:val="0"/>
                <w:numId w:val="0"/>
              </w:numPr>
              <w:kinsoku/>
              <w:wordWrap/>
              <w:overflowPunct/>
              <w:topLinePunct w:val="0"/>
              <w:bidi w:val="0"/>
              <w:spacing w:after="0" w:line="240" w:lineRule="auto"/>
              <w:ind w:left="0" w:leftChars="0"/>
              <w:jc w:val="left"/>
              <w:rPr>
                <w:rFonts w:hint="eastAsia" w:ascii="宋体" w:hAnsi="宋体" w:eastAsia="宋体" w:cs="宋体"/>
                <w:b w:val="0"/>
                <w:bCs/>
                <w:snapToGrid/>
                <w:color w:val="auto"/>
                <w:kern w:val="2"/>
                <w:sz w:val="24"/>
                <w:szCs w:val="24"/>
                <w:highlight w:val="none"/>
                <w:lang w:val="en-US" w:eastAsia="zh-CN" w:bidi="ar-SA"/>
              </w:rPr>
            </w:pPr>
            <w:r>
              <w:rPr>
                <w:rFonts w:hint="eastAsia" w:ascii="宋体" w:hAnsi="宋体" w:eastAsia="宋体" w:cs="宋体"/>
                <w:b w:val="0"/>
                <w:bCs/>
                <w:snapToGrid/>
                <w:color w:val="auto"/>
                <w:kern w:val="2"/>
                <w:sz w:val="24"/>
                <w:szCs w:val="24"/>
                <w:highlight w:val="none"/>
                <w:lang w:val="en-US" w:eastAsia="zh-CN" w:bidi="ar-SA"/>
              </w:rPr>
              <w:t>方案或安全管理措施有针对性，较可行的得7分；</w:t>
            </w:r>
          </w:p>
          <w:p w14:paraId="6EB9A81A">
            <w:pPr>
              <w:pStyle w:val="2"/>
              <w:keepNext w:val="0"/>
              <w:keepLines w:val="0"/>
              <w:pageBreakBefore w:val="0"/>
              <w:numPr>
                <w:ilvl w:val="0"/>
                <w:numId w:val="0"/>
              </w:numPr>
              <w:kinsoku/>
              <w:wordWrap/>
              <w:overflowPunct/>
              <w:topLinePunct w:val="0"/>
              <w:bidi w:val="0"/>
              <w:spacing w:after="0" w:line="240" w:lineRule="auto"/>
              <w:ind w:left="0" w:leftChars="0"/>
              <w:jc w:val="left"/>
              <w:rPr>
                <w:rFonts w:hint="eastAsia" w:ascii="宋体" w:hAnsi="宋体" w:eastAsia="宋体" w:cs="宋体"/>
                <w:b w:val="0"/>
                <w:bCs/>
                <w:snapToGrid/>
                <w:color w:val="auto"/>
                <w:kern w:val="2"/>
                <w:sz w:val="24"/>
                <w:szCs w:val="24"/>
                <w:highlight w:val="none"/>
                <w:lang w:val="en-US" w:eastAsia="zh-CN" w:bidi="ar-SA"/>
              </w:rPr>
            </w:pPr>
            <w:r>
              <w:rPr>
                <w:rFonts w:hint="eastAsia" w:ascii="宋体" w:hAnsi="宋体" w:eastAsia="宋体" w:cs="宋体"/>
                <w:b w:val="0"/>
                <w:bCs/>
                <w:snapToGrid/>
                <w:color w:val="auto"/>
                <w:kern w:val="2"/>
                <w:sz w:val="24"/>
                <w:szCs w:val="24"/>
                <w:highlight w:val="none"/>
                <w:lang w:val="en-US" w:eastAsia="zh-CN" w:bidi="ar-SA"/>
              </w:rPr>
              <w:t>方案或安全管理措施基本可行的得4分；</w:t>
            </w:r>
          </w:p>
          <w:p w14:paraId="33A56269">
            <w:pPr>
              <w:pStyle w:val="2"/>
              <w:keepNext w:val="0"/>
              <w:keepLines w:val="0"/>
              <w:pageBreakBefore w:val="0"/>
              <w:numPr>
                <w:ilvl w:val="0"/>
                <w:numId w:val="0"/>
              </w:numPr>
              <w:kinsoku/>
              <w:wordWrap/>
              <w:overflowPunct/>
              <w:topLinePunct w:val="0"/>
              <w:bidi w:val="0"/>
              <w:spacing w:after="0" w:line="240" w:lineRule="auto"/>
              <w:ind w:left="0" w:leftChars="0"/>
              <w:jc w:val="left"/>
              <w:rPr>
                <w:rFonts w:hint="eastAsia" w:ascii="宋体" w:hAnsi="宋体" w:eastAsia="宋体" w:cs="宋体"/>
                <w:b w:val="0"/>
                <w:bCs/>
                <w:snapToGrid/>
                <w:color w:val="auto"/>
                <w:kern w:val="2"/>
                <w:sz w:val="24"/>
                <w:szCs w:val="24"/>
                <w:highlight w:val="none"/>
                <w:lang w:val="en-US" w:eastAsia="zh-CN" w:bidi="ar-SA"/>
              </w:rPr>
            </w:pPr>
            <w:r>
              <w:rPr>
                <w:rFonts w:hint="eastAsia" w:ascii="宋体" w:hAnsi="宋体" w:eastAsia="宋体" w:cs="宋体"/>
                <w:b w:val="0"/>
                <w:bCs/>
                <w:snapToGrid/>
                <w:color w:val="auto"/>
                <w:kern w:val="2"/>
                <w:sz w:val="24"/>
                <w:szCs w:val="24"/>
                <w:highlight w:val="none"/>
                <w:lang w:val="en-US" w:eastAsia="zh-CN" w:bidi="ar-SA"/>
              </w:rPr>
              <w:t>未提供不得分。</w:t>
            </w:r>
          </w:p>
          <w:p w14:paraId="04A398D1">
            <w:pPr>
              <w:rPr>
                <w:rFonts w:hint="eastAsia"/>
                <w:color w:val="auto"/>
                <w:highlight w:val="none"/>
                <w:lang w:val="en-US" w:eastAsia="zh-CN"/>
              </w:rPr>
            </w:pPr>
          </w:p>
        </w:tc>
        <w:tc>
          <w:tcPr>
            <w:tcW w:w="801" w:type="dxa"/>
            <w:vMerge w:val="continue"/>
            <w:tcBorders>
              <w:left w:val="single" w:color="auto" w:sz="4" w:space="0"/>
            </w:tcBorders>
            <w:noWrap w:val="0"/>
            <w:vAlign w:val="center"/>
          </w:tcPr>
          <w:p w14:paraId="3332206F">
            <w:pPr>
              <w:keepNext w:val="0"/>
              <w:keepLines w:val="0"/>
              <w:pageBreakBefore w:val="0"/>
              <w:widowControl/>
              <w:kinsoku/>
              <w:wordWrap/>
              <w:overflowPunct/>
              <w:topLinePunct w:val="0"/>
              <w:bidi w:val="0"/>
              <w:snapToGrid w:val="0"/>
              <w:spacing w:line="240" w:lineRule="auto"/>
              <w:jc w:val="center"/>
              <w:textAlignment w:val="center"/>
              <w:rPr>
                <w:rFonts w:hint="eastAsia" w:ascii="宋体" w:hAnsi="宋体" w:eastAsia="宋体" w:cs="宋体"/>
                <w:color w:val="auto"/>
                <w:sz w:val="24"/>
                <w:highlight w:val="none"/>
                <w:lang w:val="en-US" w:eastAsia="zh-CN"/>
              </w:rPr>
            </w:pPr>
          </w:p>
        </w:tc>
      </w:tr>
      <w:tr w14:paraId="3EA4DF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1" w:hRule="atLeast"/>
        </w:trPr>
        <w:tc>
          <w:tcPr>
            <w:tcW w:w="764" w:type="dxa"/>
            <w:vMerge w:val="continue"/>
            <w:tcBorders>
              <w:right w:val="single" w:color="auto" w:sz="4" w:space="0"/>
            </w:tcBorders>
            <w:noWrap w:val="0"/>
            <w:vAlign w:val="center"/>
          </w:tcPr>
          <w:p w14:paraId="6C5F4E2C">
            <w:pPr>
              <w:keepNext w:val="0"/>
              <w:keepLines w:val="0"/>
              <w:pageBreakBefore w:val="0"/>
              <w:widowControl/>
              <w:kinsoku/>
              <w:wordWrap/>
              <w:overflowPunct/>
              <w:topLinePunct w:val="0"/>
              <w:bidi w:val="0"/>
              <w:snapToGrid w:val="0"/>
              <w:spacing w:line="240" w:lineRule="auto"/>
              <w:jc w:val="center"/>
              <w:textAlignment w:val="center"/>
              <w:rPr>
                <w:rFonts w:hint="eastAsia" w:ascii="宋体" w:hAnsi="宋体" w:eastAsia="宋体" w:cs="宋体"/>
                <w:color w:val="auto"/>
                <w:sz w:val="24"/>
                <w:szCs w:val="24"/>
                <w:highlight w:val="none"/>
                <w:lang w:val="en-US" w:eastAsia="zh-CN"/>
              </w:rPr>
            </w:pPr>
          </w:p>
        </w:tc>
        <w:tc>
          <w:tcPr>
            <w:tcW w:w="1207" w:type="dxa"/>
            <w:vMerge w:val="continue"/>
            <w:tcBorders>
              <w:left w:val="single" w:color="auto" w:sz="4" w:space="0"/>
              <w:right w:val="single" w:color="auto" w:sz="4" w:space="0"/>
            </w:tcBorders>
            <w:noWrap w:val="0"/>
            <w:vAlign w:val="center"/>
          </w:tcPr>
          <w:p w14:paraId="1007C8C8">
            <w:pPr>
              <w:keepNext w:val="0"/>
              <w:keepLines w:val="0"/>
              <w:pageBreakBefore w:val="0"/>
              <w:widowControl/>
              <w:kinsoku/>
              <w:wordWrap/>
              <w:overflowPunct/>
              <w:topLinePunct w:val="0"/>
              <w:bidi w:val="0"/>
              <w:snapToGrid w:val="0"/>
              <w:spacing w:line="240" w:lineRule="auto"/>
              <w:jc w:val="center"/>
              <w:textAlignment w:val="center"/>
              <w:rPr>
                <w:rFonts w:hint="eastAsia" w:ascii="宋体" w:hAnsi="宋体" w:eastAsia="宋体" w:cs="宋体"/>
                <w:bCs/>
                <w:color w:val="auto"/>
                <w:sz w:val="24"/>
                <w:szCs w:val="24"/>
                <w:highlight w:val="none"/>
                <w:lang w:val="en-US" w:eastAsia="zh-CN"/>
              </w:rPr>
            </w:pPr>
          </w:p>
        </w:tc>
        <w:tc>
          <w:tcPr>
            <w:tcW w:w="6570" w:type="dxa"/>
            <w:tcBorders>
              <w:top w:val="single" w:color="auto" w:sz="4" w:space="0"/>
              <w:left w:val="single" w:color="auto" w:sz="4" w:space="0"/>
              <w:bottom w:val="single" w:color="auto" w:sz="4" w:space="0"/>
              <w:right w:val="single" w:color="auto" w:sz="4" w:space="0"/>
            </w:tcBorders>
            <w:noWrap w:val="0"/>
            <w:vAlign w:val="center"/>
          </w:tcPr>
          <w:p w14:paraId="01F1AD7F">
            <w:pPr>
              <w:pStyle w:val="2"/>
              <w:keepNext w:val="0"/>
              <w:keepLines w:val="0"/>
              <w:pageBreakBefore w:val="0"/>
              <w:numPr>
                <w:ilvl w:val="0"/>
                <w:numId w:val="0"/>
              </w:numPr>
              <w:kinsoku/>
              <w:wordWrap/>
              <w:overflowPunct/>
              <w:topLinePunct w:val="0"/>
              <w:bidi w:val="0"/>
              <w:spacing w:after="0" w:line="240" w:lineRule="auto"/>
              <w:ind w:left="0" w:leftChars="0"/>
              <w:rPr>
                <w:rFonts w:hint="eastAsia" w:ascii="宋体" w:hAnsi="宋体" w:eastAsia="宋体" w:cs="宋体"/>
                <w:b w:val="0"/>
                <w:bCs/>
                <w:snapToGrid/>
                <w:color w:val="auto"/>
                <w:kern w:val="2"/>
                <w:sz w:val="24"/>
                <w:szCs w:val="24"/>
                <w:highlight w:val="none"/>
                <w:lang w:val="en-US" w:eastAsia="zh-CN" w:bidi="ar-SA"/>
              </w:rPr>
            </w:pPr>
          </w:p>
          <w:p w14:paraId="0B9C75F0">
            <w:pPr>
              <w:pStyle w:val="2"/>
              <w:keepNext w:val="0"/>
              <w:keepLines w:val="0"/>
              <w:pageBreakBefore w:val="0"/>
              <w:numPr>
                <w:ilvl w:val="0"/>
                <w:numId w:val="0"/>
              </w:numPr>
              <w:kinsoku/>
              <w:wordWrap/>
              <w:overflowPunct/>
              <w:topLinePunct w:val="0"/>
              <w:bidi w:val="0"/>
              <w:spacing w:after="0" w:line="240" w:lineRule="auto"/>
              <w:ind w:left="0" w:leftChars="0"/>
              <w:rPr>
                <w:rFonts w:hint="eastAsia" w:ascii="宋体" w:hAnsi="宋体" w:eastAsia="宋体" w:cs="宋体"/>
                <w:b w:val="0"/>
                <w:bCs/>
                <w:snapToGrid/>
                <w:color w:val="auto"/>
                <w:kern w:val="2"/>
                <w:sz w:val="24"/>
                <w:szCs w:val="24"/>
                <w:highlight w:val="none"/>
                <w:lang w:val="en-US" w:eastAsia="zh-CN" w:bidi="ar-SA"/>
              </w:rPr>
            </w:pPr>
            <w:r>
              <w:rPr>
                <w:rFonts w:hint="eastAsia" w:ascii="宋体" w:hAnsi="宋体" w:eastAsia="宋体" w:cs="宋体"/>
                <w:b w:val="0"/>
                <w:bCs/>
                <w:snapToGrid/>
                <w:color w:val="auto"/>
                <w:kern w:val="2"/>
                <w:sz w:val="24"/>
                <w:szCs w:val="24"/>
                <w:highlight w:val="none"/>
                <w:lang w:val="en-US" w:eastAsia="zh-CN" w:bidi="ar-SA"/>
              </w:rPr>
              <w:t>3.“平安工地”建设方案（10分）：根据供应商提供的“平安工地”创建方案的完整性、可行性等方面进行评审。</w:t>
            </w:r>
          </w:p>
          <w:p w14:paraId="384A7BCA">
            <w:pPr>
              <w:pStyle w:val="2"/>
              <w:keepNext w:val="0"/>
              <w:keepLines w:val="0"/>
              <w:pageBreakBefore w:val="0"/>
              <w:kinsoku/>
              <w:wordWrap/>
              <w:overflowPunct/>
              <w:topLinePunct w:val="0"/>
              <w:bidi w:val="0"/>
              <w:spacing w:after="0" w:line="240" w:lineRule="auto"/>
              <w:rPr>
                <w:rFonts w:hint="eastAsia" w:ascii="宋体" w:hAnsi="宋体" w:eastAsia="宋体" w:cs="宋体"/>
                <w:b w:val="0"/>
                <w:bCs/>
                <w:snapToGrid/>
                <w:color w:val="auto"/>
                <w:kern w:val="2"/>
                <w:sz w:val="24"/>
                <w:szCs w:val="24"/>
                <w:highlight w:val="none"/>
                <w:lang w:val="en-US" w:eastAsia="zh-CN" w:bidi="ar-SA"/>
              </w:rPr>
            </w:pPr>
            <w:r>
              <w:rPr>
                <w:rFonts w:hint="eastAsia" w:ascii="宋体" w:hAnsi="宋体" w:eastAsia="宋体" w:cs="宋体"/>
                <w:b w:val="0"/>
                <w:bCs/>
                <w:snapToGrid/>
                <w:color w:val="auto"/>
                <w:kern w:val="2"/>
                <w:sz w:val="24"/>
                <w:szCs w:val="24"/>
                <w:highlight w:val="none"/>
                <w:lang w:val="en-US" w:eastAsia="zh-CN" w:bidi="ar-SA"/>
              </w:rPr>
              <w:t>方案完整、可行的得10分；</w:t>
            </w:r>
          </w:p>
          <w:p w14:paraId="3AD996DA">
            <w:pPr>
              <w:keepNext w:val="0"/>
              <w:keepLines w:val="0"/>
              <w:pageBreakBefore w:val="0"/>
              <w:kinsoku/>
              <w:wordWrap/>
              <w:overflowPunct/>
              <w:topLinePunct w:val="0"/>
              <w:bidi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snapToGrid/>
                <w:color w:val="auto"/>
                <w:kern w:val="2"/>
                <w:sz w:val="24"/>
                <w:szCs w:val="24"/>
                <w:highlight w:val="none"/>
                <w:lang w:val="en-US" w:eastAsia="zh-CN" w:bidi="ar-SA"/>
              </w:rPr>
              <w:t>方案较完整、较可行的得7分；</w:t>
            </w:r>
          </w:p>
          <w:p w14:paraId="1D0D0CFB">
            <w:pPr>
              <w:keepNext w:val="0"/>
              <w:keepLines w:val="0"/>
              <w:pageBreakBefore w:val="0"/>
              <w:kinsoku/>
              <w:wordWrap/>
              <w:overflowPunct/>
              <w:topLinePunct w:val="0"/>
              <w:bidi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snapToGrid/>
                <w:color w:val="auto"/>
                <w:kern w:val="2"/>
                <w:sz w:val="24"/>
                <w:szCs w:val="24"/>
                <w:highlight w:val="none"/>
                <w:lang w:val="en-US" w:eastAsia="zh-CN" w:bidi="ar-SA"/>
              </w:rPr>
              <w:t>方案基本完整、基本可行的得4分；</w:t>
            </w:r>
          </w:p>
          <w:p w14:paraId="16AE245D">
            <w:pPr>
              <w:pStyle w:val="2"/>
              <w:keepNext w:val="0"/>
              <w:keepLines w:val="0"/>
              <w:pageBreakBefore w:val="0"/>
              <w:kinsoku/>
              <w:wordWrap/>
              <w:overflowPunct/>
              <w:topLinePunct w:val="0"/>
              <w:bidi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snapToGrid/>
                <w:color w:val="auto"/>
                <w:kern w:val="2"/>
                <w:sz w:val="24"/>
                <w:szCs w:val="24"/>
                <w:highlight w:val="none"/>
                <w:lang w:val="en-US" w:eastAsia="zh-CN" w:bidi="ar-SA"/>
              </w:rPr>
              <w:t>未提供不得分。</w:t>
            </w:r>
          </w:p>
        </w:tc>
        <w:tc>
          <w:tcPr>
            <w:tcW w:w="801" w:type="dxa"/>
            <w:vMerge w:val="continue"/>
            <w:tcBorders>
              <w:left w:val="single" w:color="auto" w:sz="4" w:space="0"/>
            </w:tcBorders>
            <w:noWrap w:val="0"/>
            <w:vAlign w:val="center"/>
          </w:tcPr>
          <w:p w14:paraId="19351942">
            <w:pPr>
              <w:keepNext w:val="0"/>
              <w:keepLines w:val="0"/>
              <w:pageBreakBefore w:val="0"/>
              <w:widowControl/>
              <w:kinsoku/>
              <w:wordWrap/>
              <w:overflowPunct/>
              <w:topLinePunct w:val="0"/>
              <w:bidi w:val="0"/>
              <w:snapToGrid w:val="0"/>
              <w:spacing w:line="240" w:lineRule="auto"/>
              <w:jc w:val="center"/>
              <w:textAlignment w:val="center"/>
              <w:rPr>
                <w:rFonts w:hint="eastAsia" w:ascii="宋体" w:hAnsi="宋体" w:eastAsia="宋体" w:cs="宋体"/>
                <w:color w:val="auto"/>
                <w:sz w:val="24"/>
                <w:highlight w:val="none"/>
                <w:lang w:val="en-US" w:eastAsia="zh-CN"/>
              </w:rPr>
            </w:pPr>
          </w:p>
        </w:tc>
      </w:tr>
      <w:tr w14:paraId="032670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1" w:hRule="atLeast"/>
        </w:trPr>
        <w:tc>
          <w:tcPr>
            <w:tcW w:w="764" w:type="dxa"/>
            <w:vMerge w:val="continue"/>
            <w:tcBorders>
              <w:right w:val="single" w:color="auto" w:sz="4" w:space="0"/>
            </w:tcBorders>
            <w:noWrap w:val="0"/>
            <w:vAlign w:val="center"/>
          </w:tcPr>
          <w:p w14:paraId="50B5AA01">
            <w:pPr>
              <w:keepNext w:val="0"/>
              <w:keepLines w:val="0"/>
              <w:pageBreakBefore w:val="0"/>
              <w:widowControl/>
              <w:kinsoku/>
              <w:wordWrap/>
              <w:overflowPunct/>
              <w:topLinePunct w:val="0"/>
              <w:bidi w:val="0"/>
              <w:snapToGrid w:val="0"/>
              <w:spacing w:line="240" w:lineRule="auto"/>
              <w:jc w:val="center"/>
              <w:textAlignment w:val="center"/>
              <w:rPr>
                <w:rFonts w:hint="eastAsia" w:ascii="宋体" w:hAnsi="宋体" w:eastAsia="宋体" w:cs="宋体"/>
                <w:color w:val="auto"/>
                <w:sz w:val="24"/>
                <w:szCs w:val="24"/>
                <w:highlight w:val="none"/>
                <w:lang w:val="en-US" w:eastAsia="zh-CN"/>
              </w:rPr>
            </w:pPr>
          </w:p>
        </w:tc>
        <w:tc>
          <w:tcPr>
            <w:tcW w:w="1207" w:type="dxa"/>
            <w:vMerge w:val="continue"/>
            <w:tcBorders>
              <w:left w:val="single" w:color="auto" w:sz="4" w:space="0"/>
              <w:right w:val="single" w:color="auto" w:sz="4" w:space="0"/>
            </w:tcBorders>
            <w:noWrap w:val="0"/>
            <w:vAlign w:val="center"/>
          </w:tcPr>
          <w:p w14:paraId="2F2EA5D2">
            <w:pPr>
              <w:keepNext w:val="0"/>
              <w:keepLines w:val="0"/>
              <w:pageBreakBefore w:val="0"/>
              <w:widowControl/>
              <w:kinsoku/>
              <w:wordWrap/>
              <w:overflowPunct/>
              <w:topLinePunct w:val="0"/>
              <w:bidi w:val="0"/>
              <w:snapToGrid w:val="0"/>
              <w:spacing w:line="240" w:lineRule="auto"/>
              <w:jc w:val="center"/>
              <w:textAlignment w:val="center"/>
              <w:rPr>
                <w:rFonts w:hint="eastAsia" w:ascii="宋体" w:hAnsi="宋体" w:eastAsia="宋体" w:cs="宋体"/>
                <w:bCs/>
                <w:color w:val="auto"/>
                <w:sz w:val="24"/>
                <w:szCs w:val="24"/>
                <w:highlight w:val="none"/>
                <w:lang w:val="en-US" w:eastAsia="zh-CN"/>
              </w:rPr>
            </w:pPr>
          </w:p>
        </w:tc>
        <w:tc>
          <w:tcPr>
            <w:tcW w:w="6570" w:type="dxa"/>
            <w:tcBorders>
              <w:top w:val="single" w:color="auto" w:sz="4" w:space="0"/>
              <w:left w:val="single" w:color="auto" w:sz="4" w:space="0"/>
              <w:bottom w:val="single" w:color="auto" w:sz="4" w:space="0"/>
              <w:right w:val="single" w:color="auto" w:sz="4" w:space="0"/>
            </w:tcBorders>
            <w:noWrap w:val="0"/>
            <w:vAlign w:val="center"/>
          </w:tcPr>
          <w:p w14:paraId="44132343">
            <w:pPr>
              <w:pStyle w:val="2"/>
              <w:keepNext w:val="0"/>
              <w:keepLines w:val="0"/>
              <w:pageBreakBefore w:val="0"/>
              <w:numPr>
                <w:ilvl w:val="0"/>
                <w:numId w:val="0"/>
              </w:numPr>
              <w:kinsoku/>
              <w:wordWrap/>
              <w:overflowPunct/>
              <w:topLinePunct w:val="0"/>
              <w:bidi w:val="0"/>
              <w:spacing w:after="0" w:line="240" w:lineRule="auto"/>
              <w:ind w:leftChars="0"/>
              <w:rPr>
                <w:rFonts w:hint="eastAsia" w:ascii="宋体" w:hAnsi="宋体" w:eastAsia="宋体" w:cs="宋体"/>
                <w:b w:val="0"/>
                <w:bCs/>
                <w:snapToGrid/>
                <w:color w:val="auto"/>
                <w:kern w:val="2"/>
                <w:sz w:val="24"/>
                <w:szCs w:val="24"/>
                <w:highlight w:val="none"/>
                <w:lang w:val="en-US" w:eastAsia="zh-CN" w:bidi="ar-SA"/>
              </w:rPr>
            </w:pPr>
          </w:p>
          <w:p w14:paraId="43091A2C">
            <w:pPr>
              <w:pStyle w:val="2"/>
              <w:keepNext w:val="0"/>
              <w:keepLines w:val="0"/>
              <w:pageBreakBefore w:val="0"/>
              <w:numPr>
                <w:ilvl w:val="0"/>
                <w:numId w:val="0"/>
              </w:numPr>
              <w:kinsoku/>
              <w:wordWrap/>
              <w:overflowPunct/>
              <w:topLinePunct w:val="0"/>
              <w:bidi w:val="0"/>
              <w:spacing w:after="0" w:line="240" w:lineRule="auto"/>
              <w:ind w:leftChars="0"/>
              <w:rPr>
                <w:rFonts w:hint="eastAsia" w:ascii="宋体" w:hAnsi="宋体" w:eastAsia="宋体" w:cs="宋体"/>
                <w:b w:val="0"/>
                <w:bCs/>
                <w:snapToGrid/>
                <w:color w:val="auto"/>
                <w:kern w:val="2"/>
                <w:sz w:val="24"/>
                <w:szCs w:val="24"/>
                <w:highlight w:val="none"/>
                <w:lang w:val="en-US" w:eastAsia="zh-CN" w:bidi="ar-SA"/>
              </w:rPr>
            </w:pPr>
            <w:r>
              <w:rPr>
                <w:rFonts w:hint="eastAsia" w:ascii="宋体" w:hAnsi="宋体" w:eastAsia="宋体" w:cs="宋体"/>
                <w:b w:val="0"/>
                <w:bCs/>
                <w:snapToGrid/>
                <w:color w:val="auto"/>
                <w:kern w:val="2"/>
                <w:sz w:val="24"/>
                <w:szCs w:val="24"/>
                <w:highlight w:val="none"/>
                <w:lang w:val="en-US" w:eastAsia="zh-CN" w:bidi="ar-SA"/>
              </w:rPr>
              <w:t>4.工作内容的工作量及计划安排（5分）：根据供应商提供的工作内容的工作量及计划安排的合理性、科学性进行评审。</w:t>
            </w:r>
          </w:p>
          <w:p w14:paraId="6062B402">
            <w:pPr>
              <w:pStyle w:val="2"/>
              <w:keepNext w:val="0"/>
              <w:keepLines w:val="0"/>
              <w:pageBreakBefore w:val="0"/>
              <w:numPr>
                <w:ilvl w:val="0"/>
                <w:numId w:val="0"/>
              </w:numPr>
              <w:kinsoku/>
              <w:wordWrap/>
              <w:overflowPunct/>
              <w:topLinePunct w:val="0"/>
              <w:bidi w:val="0"/>
              <w:spacing w:after="0" w:line="240" w:lineRule="auto"/>
              <w:ind w:leftChars="0"/>
              <w:rPr>
                <w:rFonts w:hint="eastAsia" w:ascii="宋体" w:hAnsi="宋体" w:eastAsia="宋体" w:cs="宋体"/>
                <w:b w:val="0"/>
                <w:bCs/>
                <w:snapToGrid/>
                <w:color w:val="auto"/>
                <w:kern w:val="2"/>
                <w:sz w:val="24"/>
                <w:szCs w:val="24"/>
                <w:highlight w:val="none"/>
                <w:lang w:val="en-US" w:eastAsia="zh-CN" w:bidi="ar-SA"/>
              </w:rPr>
            </w:pPr>
            <w:r>
              <w:rPr>
                <w:rFonts w:hint="eastAsia" w:ascii="宋体" w:hAnsi="宋体" w:eastAsia="宋体" w:cs="宋体"/>
                <w:b w:val="0"/>
                <w:bCs/>
                <w:snapToGrid/>
                <w:color w:val="auto"/>
                <w:kern w:val="2"/>
                <w:sz w:val="24"/>
                <w:szCs w:val="24"/>
                <w:highlight w:val="none"/>
                <w:lang w:val="en-US" w:eastAsia="zh-CN" w:bidi="ar-SA"/>
              </w:rPr>
              <w:t>工作内容的工作量及计划安排的合理、科学的得5分；</w:t>
            </w:r>
          </w:p>
          <w:p w14:paraId="0C469C97">
            <w:pPr>
              <w:pStyle w:val="2"/>
              <w:keepNext w:val="0"/>
              <w:keepLines w:val="0"/>
              <w:pageBreakBefore w:val="0"/>
              <w:numPr>
                <w:ilvl w:val="0"/>
                <w:numId w:val="0"/>
              </w:numPr>
              <w:kinsoku/>
              <w:wordWrap/>
              <w:overflowPunct/>
              <w:topLinePunct w:val="0"/>
              <w:bidi w:val="0"/>
              <w:spacing w:after="0" w:line="240" w:lineRule="auto"/>
              <w:ind w:leftChars="0"/>
              <w:rPr>
                <w:rFonts w:hint="eastAsia" w:ascii="宋体" w:hAnsi="宋体" w:eastAsia="宋体" w:cs="宋体"/>
                <w:b w:val="0"/>
                <w:bCs/>
                <w:snapToGrid/>
                <w:color w:val="auto"/>
                <w:kern w:val="2"/>
                <w:sz w:val="24"/>
                <w:szCs w:val="24"/>
                <w:highlight w:val="none"/>
                <w:lang w:val="en-US" w:eastAsia="zh-CN" w:bidi="ar-SA"/>
              </w:rPr>
            </w:pPr>
            <w:r>
              <w:rPr>
                <w:rFonts w:hint="eastAsia" w:ascii="宋体" w:hAnsi="宋体" w:eastAsia="宋体" w:cs="宋体"/>
                <w:b w:val="0"/>
                <w:bCs/>
                <w:snapToGrid/>
                <w:color w:val="auto"/>
                <w:kern w:val="2"/>
                <w:sz w:val="24"/>
                <w:szCs w:val="24"/>
                <w:highlight w:val="none"/>
                <w:lang w:val="en-US" w:eastAsia="zh-CN" w:bidi="ar-SA"/>
              </w:rPr>
              <w:t>工作内容的工作量及计划安排的较合理、较科学的得3分；</w:t>
            </w:r>
          </w:p>
          <w:p w14:paraId="22209AD4">
            <w:pPr>
              <w:pStyle w:val="2"/>
              <w:keepNext w:val="0"/>
              <w:keepLines w:val="0"/>
              <w:pageBreakBefore w:val="0"/>
              <w:numPr>
                <w:ilvl w:val="0"/>
                <w:numId w:val="0"/>
              </w:numPr>
              <w:kinsoku/>
              <w:wordWrap/>
              <w:overflowPunct/>
              <w:topLinePunct w:val="0"/>
              <w:bidi w:val="0"/>
              <w:spacing w:after="0" w:line="240" w:lineRule="auto"/>
              <w:ind w:leftChars="0"/>
              <w:rPr>
                <w:rFonts w:hint="eastAsia" w:ascii="宋体" w:hAnsi="宋体" w:eastAsia="宋体" w:cs="宋体"/>
                <w:b w:val="0"/>
                <w:bCs/>
                <w:snapToGrid/>
                <w:color w:val="auto"/>
                <w:kern w:val="2"/>
                <w:sz w:val="24"/>
                <w:szCs w:val="24"/>
                <w:highlight w:val="none"/>
                <w:lang w:val="en-US" w:eastAsia="zh-CN" w:bidi="ar-SA"/>
              </w:rPr>
            </w:pPr>
            <w:r>
              <w:rPr>
                <w:rFonts w:hint="eastAsia" w:ascii="宋体" w:hAnsi="宋体" w:eastAsia="宋体" w:cs="宋体"/>
                <w:b w:val="0"/>
                <w:bCs/>
                <w:snapToGrid/>
                <w:color w:val="auto"/>
                <w:kern w:val="2"/>
                <w:sz w:val="24"/>
                <w:szCs w:val="24"/>
                <w:highlight w:val="none"/>
                <w:lang w:val="en-US" w:eastAsia="zh-CN" w:bidi="ar-SA"/>
              </w:rPr>
              <w:t>工作内容的工作量及计划安排基本合理的得1分；</w:t>
            </w:r>
          </w:p>
          <w:p w14:paraId="56743D99">
            <w:pPr>
              <w:pStyle w:val="2"/>
              <w:keepNext w:val="0"/>
              <w:keepLines w:val="0"/>
              <w:pageBreakBefore w:val="0"/>
              <w:numPr>
                <w:ilvl w:val="0"/>
                <w:numId w:val="0"/>
              </w:numPr>
              <w:kinsoku/>
              <w:wordWrap/>
              <w:overflowPunct/>
              <w:topLinePunct w:val="0"/>
              <w:bidi w:val="0"/>
              <w:spacing w:after="0" w:line="240" w:lineRule="auto"/>
              <w:ind w:leftChars="0"/>
              <w:rPr>
                <w:rFonts w:hint="eastAsia" w:ascii="宋体" w:hAnsi="宋体" w:eastAsia="宋体" w:cs="宋体"/>
                <w:b w:val="0"/>
                <w:bCs/>
                <w:snapToGrid/>
                <w:color w:val="auto"/>
                <w:kern w:val="2"/>
                <w:sz w:val="24"/>
                <w:szCs w:val="24"/>
                <w:highlight w:val="none"/>
                <w:lang w:val="en-US" w:eastAsia="zh-CN" w:bidi="ar-SA"/>
              </w:rPr>
            </w:pPr>
            <w:r>
              <w:rPr>
                <w:rFonts w:hint="eastAsia" w:ascii="宋体" w:hAnsi="宋体" w:eastAsia="宋体" w:cs="宋体"/>
                <w:b w:val="0"/>
                <w:bCs/>
                <w:snapToGrid/>
                <w:color w:val="auto"/>
                <w:kern w:val="2"/>
                <w:sz w:val="24"/>
                <w:szCs w:val="24"/>
                <w:highlight w:val="none"/>
                <w:lang w:val="en-US" w:eastAsia="zh-CN" w:bidi="ar-SA"/>
              </w:rPr>
              <w:t>未提供不得分。</w:t>
            </w:r>
          </w:p>
          <w:p w14:paraId="40082190">
            <w:pPr>
              <w:rPr>
                <w:rFonts w:hint="eastAsia"/>
                <w:color w:val="auto"/>
                <w:highlight w:val="none"/>
                <w:lang w:val="en-US" w:eastAsia="zh-CN"/>
              </w:rPr>
            </w:pPr>
          </w:p>
        </w:tc>
        <w:tc>
          <w:tcPr>
            <w:tcW w:w="801" w:type="dxa"/>
            <w:vMerge w:val="continue"/>
            <w:tcBorders>
              <w:left w:val="single" w:color="auto" w:sz="4" w:space="0"/>
            </w:tcBorders>
            <w:noWrap w:val="0"/>
            <w:vAlign w:val="center"/>
          </w:tcPr>
          <w:p w14:paraId="67EBF731">
            <w:pPr>
              <w:keepNext w:val="0"/>
              <w:keepLines w:val="0"/>
              <w:pageBreakBefore w:val="0"/>
              <w:widowControl/>
              <w:kinsoku/>
              <w:wordWrap/>
              <w:overflowPunct/>
              <w:topLinePunct w:val="0"/>
              <w:bidi w:val="0"/>
              <w:snapToGrid w:val="0"/>
              <w:spacing w:line="240" w:lineRule="auto"/>
              <w:jc w:val="center"/>
              <w:textAlignment w:val="center"/>
              <w:rPr>
                <w:rFonts w:hint="eastAsia" w:ascii="宋体" w:hAnsi="宋体" w:eastAsia="宋体" w:cs="宋体"/>
                <w:color w:val="auto"/>
                <w:sz w:val="24"/>
                <w:highlight w:val="none"/>
                <w:lang w:val="en-US" w:eastAsia="zh-CN"/>
              </w:rPr>
            </w:pPr>
          </w:p>
        </w:tc>
      </w:tr>
      <w:tr w14:paraId="2E60F2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764" w:type="dxa"/>
            <w:vMerge w:val="continue"/>
            <w:tcBorders>
              <w:bottom w:val="single" w:color="auto" w:sz="4" w:space="0"/>
              <w:right w:val="single" w:color="auto" w:sz="4" w:space="0"/>
            </w:tcBorders>
            <w:noWrap w:val="0"/>
            <w:vAlign w:val="center"/>
          </w:tcPr>
          <w:p w14:paraId="277BA0DB">
            <w:pPr>
              <w:keepNext w:val="0"/>
              <w:keepLines w:val="0"/>
              <w:pageBreakBefore w:val="0"/>
              <w:widowControl/>
              <w:kinsoku/>
              <w:wordWrap/>
              <w:overflowPunct/>
              <w:topLinePunct w:val="0"/>
              <w:bidi w:val="0"/>
              <w:snapToGrid w:val="0"/>
              <w:spacing w:line="240" w:lineRule="auto"/>
              <w:jc w:val="center"/>
              <w:textAlignment w:val="center"/>
              <w:rPr>
                <w:rFonts w:hint="eastAsia" w:ascii="宋体" w:hAnsi="宋体" w:eastAsia="宋体" w:cs="宋体"/>
                <w:color w:val="auto"/>
                <w:sz w:val="24"/>
                <w:szCs w:val="24"/>
                <w:highlight w:val="none"/>
                <w:lang w:val="en-US" w:eastAsia="zh-CN"/>
              </w:rPr>
            </w:pPr>
          </w:p>
        </w:tc>
        <w:tc>
          <w:tcPr>
            <w:tcW w:w="1207" w:type="dxa"/>
            <w:vMerge w:val="continue"/>
            <w:tcBorders>
              <w:left w:val="single" w:color="auto" w:sz="4" w:space="0"/>
              <w:bottom w:val="single" w:color="auto" w:sz="4" w:space="0"/>
              <w:right w:val="single" w:color="auto" w:sz="4" w:space="0"/>
            </w:tcBorders>
            <w:noWrap w:val="0"/>
            <w:vAlign w:val="center"/>
          </w:tcPr>
          <w:p w14:paraId="2E1EA81E">
            <w:pPr>
              <w:keepNext w:val="0"/>
              <w:keepLines w:val="0"/>
              <w:pageBreakBefore w:val="0"/>
              <w:widowControl/>
              <w:kinsoku/>
              <w:wordWrap/>
              <w:overflowPunct/>
              <w:topLinePunct w:val="0"/>
              <w:bidi w:val="0"/>
              <w:snapToGrid w:val="0"/>
              <w:spacing w:line="240" w:lineRule="auto"/>
              <w:jc w:val="center"/>
              <w:textAlignment w:val="center"/>
              <w:rPr>
                <w:rFonts w:hint="eastAsia" w:ascii="宋体" w:hAnsi="宋体" w:eastAsia="宋体" w:cs="宋体"/>
                <w:bCs/>
                <w:color w:val="auto"/>
                <w:sz w:val="24"/>
                <w:szCs w:val="24"/>
                <w:highlight w:val="none"/>
                <w:lang w:val="en-US" w:eastAsia="zh-CN"/>
              </w:rPr>
            </w:pPr>
          </w:p>
        </w:tc>
        <w:tc>
          <w:tcPr>
            <w:tcW w:w="6570" w:type="dxa"/>
            <w:tcBorders>
              <w:top w:val="single" w:color="auto" w:sz="4" w:space="0"/>
              <w:left w:val="single" w:color="auto" w:sz="4" w:space="0"/>
              <w:bottom w:val="single" w:color="auto" w:sz="4" w:space="0"/>
              <w:right w:val="single" w:color="auto" w:sz="4" w:space="0"/>
            </w:tcBorders>
            <w:noWrap w:val="0"/>
            <w:vAlign w:val="center"/>
          </w:tcPr>
          <w:p w14:paraId="75A2610F">
            <w:pPr>
              <w:pStyle w:val="2"/>
              <w:keepNext w:val="0"/>
              <w:keepLines w:val="0"/>
              <w:pageBreakBefore w:val="0"/>
              <w:numPr>
                <w:ilvl w:val="0"/>
                <w:numId w:val="0"/>
              </w:numPr>
              <w:kinsoku/>
              <w:wordWrap/>
              <w:overflowPunct/>
              <w:topLinePunct w:val="0"/>
              <w:bidi w:val="0"/>
              <w:spacing w:after="0" w:line="240" w:lineRule="auto"/>
              <w:ind w:left="0" w:leftChars="0"/>
              <w:rPr>
                <w:rFonts w:hint="eastAsia" w:ascii="宋体" w:hAnsi="宋体" w:eastAsia="宋体" w:cs="宋体"/>
                <w:b w:val="0"/>
                <w:bCs/>
                <w:snapToGrid/>
                <w:color w:val="auto"/>
                <w:kern w:val="2"/>
                <w:sz w:val="24"/>
                <w:szCs w:val="24"/>
                <w:highlight w:val="none"/>
                <w:lang w:val="en-US" w:eastAsia="zh-CN" w:bidi="ar-SA"/>
              </w:rPr>
            </w:pPr>
          </w:p>
          <w:p w14:paraId="4B535444">
            <w:pPr>
              <w:pStyle w:val="2"/>
              <w:keepNext w:val="0"/>
              <w:keepLines w:val="0"/>
              <w:pageBreakBefore w:val="0"/>
              <w:numPr>
                <w:ilvl w:val="0"/>
                <w:numId w:val="0"/>
              </w:numPr>
              <w:kinsoku/>
              <w:wordWrap/>
              <w:overflowPunct/>
              <w:topLinePunct w:val="0"/>
              <w:bidi w:val="0"/>
              <w:spacing w:after="0" w:line="240" w:lineRule="auto"/>
              <w:ind w:left="0" w:leftChars="0"/>
              <w:rPr>
                <w:rFonts w:hint="eastAsia" w:ascii="宋体" w:hAnsi="宋体" w:eastAsia="宋体" w:cs="宋体"/>
                <w:b w:val="0"/>
                <w:bCs/>
                <w:snapToGrid/>
                <w:color w:val="auto"/>
                <w:kern w:val="2"/>
                <w:sz w:val="24"/>
                <w:szCs w:val="24"/>
                <w:highlight w:val="none"/>
                <w:lang w:val="en-US" w:eastAsia="zh-CN" w:bidi="ar-SA"/>
              </w:rPr>
            </w:pPr>
            <w:r>
              <w:rPr>
                <w:rFonts w:hint="eastAsia" w:ascii="宋体" w:hAnsi="宋体" w:eastAsia="宋体" w:cs="宋体"/>
                <w:b w:val="0"/>
                <w:bCs/>
                <w:snapToGrid/>
                <w:color w:val="auto"/>
                <w:kern w:val="2"/>
                <w:sz w:val="24"/>
                <w:szCs w:val="24"/>
                <w:highlight w:val="none"/>
                <w:lang w:val="en-US" w:eastAsia="zh-CN" w:bidi="ar-SA"/>
              </w:rPr>
              <w:t>5.工作承诺（5分）：根据供应商提供的工作承诺，对如何采取保障措施，确保及时、有效、保质保量工作进行评审。</w:t>
            </w:r>
          </w:p>
          <w:p w14:paraId="2EA96CCF">
            <w:pPr>
              <w:pStyle w:val="2"/>
              <w:keepNext w:val="0"/>
              <w:keepLines w:val="0"/>
              <w:pageBreakBefore w:val="0"/>
              <w:numPr>
                <w:ilvl w:val="0"/>
                <w:numId w:val="0"/>
              </w:numPr>
              <w:kinsoku/>
              <w:wordWrap/>
              <w:overflowPunct/>
              <w:topLinePunct w:val="0"/>
              <w:bidi w:val="0"/>
              <w:spacing w:after="0" w:line="240" w:lineRule="auto"/>
              <w:ind w:left="0" w:leftChars="0"/>
              <w:rPr>
                <w:rFonts w:hint="eastAsia" w:ascii="宋体" w:hAnsi="宋体" w:eastAsia="宋体" w:cs="宋体"/>
                <w:b w:val="0"/>
                <w:bCs/>
                <w:snapToGrid/>
                <w:color w:val="auto"/>
                <w:kern w:val="2"/>
                <w:sz w:val="24"/>
                <w:szCs w:val="24"/>
                <w:highlight w:val="none"/>
                <w:lang w:val="en-US" w:eastAsia="zh-CN" w:bidi="ar-SA"/>
              </w:rPr>
            </w:pPr>
            <w:r>
              <w:rPr>
                <w:rFonts w:hint="eastAsia" w:ascii="宋体" w:hAnsi="宋体" w:eastAsia="宋体" w:cs="宋体"/>
                <w:b w:val="0"/>
                <w:bCs/>
                <w:snapToGrid/>
                <w:color w:val="auto"/>
                <w:kern w:val="2"/>
                <w:sz w:val="24"/>
                <w:szCs w:val="24"/>
                <w:highlight w:val="none"/>
                <w:lang w:val="en-US" w:eastAsia="zh-CN" w:bidi="ar-SA"/>
              </w:rPr>
              <w:t>承诺完整体现上述内容，且合理、可行的得5分；</w:t>
            </w:r>
          </w:p>
          <w:p w14:paraId="47914330">
            <w:pPr>
              <w:pStyle w:val="2"/>
              <w:keepNext w:val="0"/>
              <w:keepLines w:val="0"/>
              <w:pageBreakBefore w:val="0"/>
              <w:numPr>
                <w:ilvl w:val="0"/>
                <w:numId w:val="0"/>
              </w:numPr>
              <w:kinsoku/>
              <w:wordWrap/>
              <w:overflowPunct/>
              <w:topLinePunct w:val="0"/>
              <w:bidi w:val="0"/>
              <w:spacing w:after="0" w:line="240" w:lineRule="auto"/>
              <w:ind w:left="0" w:leftChars="0"/>
              <w:rPr>
                <w:rFonts w:hint="eastAsia" w:ascii="宋体" w:hAnsi="宋体" w:eastAsia="宋体" w:cs="宋体"/>
                <w:b w:val="0"/>
                <w:bCs/>
                <w:snapToGrid/>
                <w:color w:val="auto"/>
                <w:kern w:val="2"/>
                <w:sz w:val="24"/>
                <w:szCs w:val="24"/>
                <w:highlight w:val="none"/>
                <w:lang w:val="en-US" w:eastAsia="zh-CN" w:bidi="ar-SA"/>
              </w:rPr>
            </w:pPr>
            <w:r>
              <w:rPr>
                <w:rFonts w:hint="eastAsia" w:ascii="宋体" w:hAnsi="宋体" w:eastAsia="宋体" w:cs="宋体"/>
                <w:b w:val="0"/>
                <w:bCs/>
                <w:snapToGrid/>
                <w:color w:val="auto"/>
                <w:kern w:val="2"/>
                <w:sz w:val="24"/>
                <w:szCs w:val="24"/>
                <w:highlight w:val="none"/>
                <w:lang w:val="en-US" w:eastAsia="zh-CN" w:bidi="ar-SA"/>
              </w:rPr>
              <w:t>承诺较完整体现上述内容，且较合理、较可行的得3分；</w:t>
            </w:r>
          </w:p>
          <w:p w14:paraId="0D8CC6E2">
            <w:pPr>
              <w:keepNext w:val="0"/>
              <w:keepLines w:val="0"/>
              <w:pageBreakBefore w:val="0"/>
              <w:kinsoku/>
              <w:wordWrap/>
              <w:overflowPunct/>
              <w:topLinePunct w:val="0"/>
              <w:bidi w:val="0"/>
              <w:spacing w:line="240" w:lineRule="auto"/>
              <w:rPr>
                <w:rFonts w:hint="eastAsia" w:ascii="宋体" w:hAnsi="宋体" w:eastAsia="宋体" w:cs="宋体"/>
                <w:b w:val="0"/>
                <w:bCs/>
                <w:snapToGrid/>
                <w:color w:val="auto"/>
                <w:kern w:val="2"/>
                <w:sz w:val="24"/>
                <w:szCs w:val="24"/>
                <w:highlight w:val="none"/>
                <w:lang w:val="en-US" w:eastAsia="zh-CN" w:bidi="ar-SA"/>
              </w:rPr>
            </w:pPr>
            <w:r>
              <w:rPr>
                <w:rFonts w:hint="eastAsia" w:ascii="宋体" w:hAnsi="宋体" w:eastAsia="宋体" w:cs="宋体"/>
                <w:b w:val="0"/>
                <w:bCs/>
                <w:snapToGrid/>
                <w:color w:val="auto"/>
                <w:kern w:val="2"/>
                <w:sz w:val="24"/>
                <w:szCs w:val="24"/>
                <w:highlight w:val="none"/>
                <w:lang w:val="en-US" w:eastAsia="zh-CN" w:bidi="ar-SA"/>
              </w:rPr>
              <w:t>承诺基本体现上述内容，且基本合理、基本可行的得1分；</w:t>
            </w:r>
          </w:p>
          <w:p w14:paraId="3F27CF96">
            <w:pPr>
              <w:pStyle w:val="2"/>
              <w:keepNext w:val="0"/>
              <w:keepLines w:val="0"/>
              <w:pageBreakBefore w:val="0"/>
              <w:kinsoku/>
              <w:wordWrap/>
              <w:overflowPunct/>
              <w:topLinePunct w:val="0"/>
              <w:bidi w:val="0"/>
              <w:spacing w:after="0" w:line="240" w:lineRule="auto"/>
              <w:rPr>
                <w:rFonts w:hint="eastAsia" w:ascii="宋体" w:hAnsi="宋体" w:eastAsia="宋体" w:cs="宋体"/>
                <w:b w:val="0"/>
                <w:bCs/>
                <w:snapToGrid/>
                <w:color w:val="auto"/>
                <w:kern w:val="2"/>
                <w:sz w:val="24"/>
                <w:szCs w:val="24"/>
                <w:highlight w:val="none"/>
                <w:lang w:val="en-US" w:eastAsia="zh-CN" w:bidi="ar-SA"/>
              </w:rPr>
            </w:pPr>
            <w:r>
              <w:rPr>
                <w:rFonts w:hint="eastAsia" w:ascii="宋体" w:hAnsi="宋体" w:eastAsia="宋体" w:cs="宋体"/>
                <w:b w:val="0"/>
                <w:bCs/>
                <w:snapToGrid/>
                <w:color w:val="auto"/>
                <w:kern w:val="2"/>
                <w:sz w:val="24"/>
                <w:szCs w:val="24"/>
                <w:highlight w:val="none"/>
                <w:lang w:val="en-US" w:eastAsia="zh-CN" w:bidi="ar-SA"/>
              </w:rPr>
              <w:t>未提供不得分。</w:t>
            </w:r>
          </w:p>
          <w:p w14:paraId="1C22F845">
            <w:pPr>
              <w:rPr>
                <w:rFonts w:hint="eastAsia"/>
                <w:color w:val="auto"/>
                <w:highlight w:val="none"/>
                <w:lang w:val="en-US" w:eastAsia="zh-CN"/>
              </w:rPr>
            </w:pPr>
          </w:p>
        </w:tc>
        <w:tc>
          <w:tcPr>
            <w:tcW w:w="801" w:type="dxa"/>
            <w:vMerge w:val="continue"/>
            <w:tcBorders>
              <w:left w:val="single" w:color="auto" w:sz="4" w:space="0"/>
              <w:bottom w:val="single" w:color="auto" w:sz="4" w:space="0"/>
            </w:tcBorders>
            <w:noWrap w:val="0"/>
            <w:vAlign w:val="center"/>
          </w:tcPr>
          <w:p w14:paraId="797DBFDF">
            <w:pPr>
              <w:keepNext w:val="0"/>
              <w:keepLines w:val="0"/>
              <w:pageBreakBefore w:val="0"/>
              <w:widowControl/>
              <w:kinsoku/>
              <w:wordWrap/>
              <w:overflowPunct/>
              <w:topLinePunct w:val="0"/>
              <w:bidi w:val="0"/>
              <w:snapToGrid w:val="0"/>
              <w:spacing w:line="240" w:lineRule="auto"/>
              <w:jc w:val="center"/>
              <w:textAlignment w:val="center"/>
              <w:rPr>
                <w:rFonts w:hint="eastAsia" w:ascii="宋体" w:hAnsi="宋体" w:eastAsia="宋体" w:cs="宋体"/>
                <w:color w:val="auto"/>
                <w:sz w:val="24"/>
                <w:highlight w:val="none"/>
                <w:lang w:val="en-US" w:eastAsia="zh-CN"/>
              </w:rPr>
            </w:pPr>
          </w:p>
        </w:tc>
      </w:tr>
    </w:tbl>
    <w:p w14:paraId="0E2831AA">
      <w:pP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备注：商务技术分不满</w:t>
      </w:r>
      <w:r>
        <w:rPr>
          <w:rFonts w:hint="eastAsia" w:ascii="宋体" w:hAnsi="宋体" w:cs="宋体"/>
          <w:color w:val="auto"/>
          <w:sz w:val="24"/>
          <w:szCs w:val="21"/>
          <w:highlight w:val="none"/>
          <w:lang w:val="en-US" w:eastAsia="zh-CN"/>
        </w:rPr>
        <w:t>45</w:t>
      </w:r>
      <w:r>
        <w:rPr>
          <w:rFonts w:hint="eastAsia" w:ascii="宋体" w:hAnsi="宋体" w:eastAsia="宋体" w:cs="宋体"/>
          <w:color w:val="auto"/>
          <w:sz w:val="24"/>
          <w:szCs w:val="21"/>
          <w:highlight w:val="none"/>
        </w:rPr>
        <w:t>分的，作为无效响应处理。</w:t>
      </w:r>
    </w:p>
    <w:p w14:paraId="4D9D8DD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价格</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0分</w:t>
      </w:r>
    </w:p>
    <w:p w14:paraId="15B110B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价格分统一采用低价优先法计算，即满足磋商文件要求且最后报价最低的供应商的价格为磋商基准价，其价格分为满分。其他供应商的价格分统一按照下列公式计算：</w:t>
      </w:r>
    </w:p>
    <w:p w14:paraId="42304DA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磋商报价得分=（磋商基准价/最后磋商报价）×价格权值×100</w:t>
      </w:r>
    </w:p>
    <w:p w14:paraId="47C1C8F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（五）政府采购政策功能落实</w:t>
      </w:r>
    </w:p>
    <w:p w14:paraId="76A44069">
      <w:pPr>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小微型企业价格扣除</w:t>
      </w:r>
    </w:p>
    <w:p w14:paraId="4C8064F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（1）本项目对小型和微型企业产品给予10%的扣除价格，用扣除后的价格参与评审。</w:t>
      </w:r>
    </w:p>
    <w:p w14:paraId="3E3AA09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（2）供应商需按照《政府采购促进中小企业发展管理办法》（财库〔2020〕46号）的规定提供相应的《中小企业声明函》。</w:t>
      </w:r>
    </w:p>
    <w:p w14:paraId="381310A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（3）企业标准请参照《关于印发中小企业划型标准规定的通知》（工信部联企业〔2011〕300号）文件规定自行填写。</w:t>
      </w:r>
    </w:p>
    <w:p w14:paraId="407616CA">
      <w:pPr>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残疾人福利单位价格扣除</w:t>
      </w:r>
    </w:p>
    <w:p w14:paraId="6FB577B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（1）本项目对残疾人福利性单位，给予10%的价格扣除，用扣除后的价格参与评审。</w:t>
      </w:r>
    </w:p>
    <w:p w14:paraId="145046C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（2）残疾人福利单位需按照采购文件的要求提供《残疾人福利性单位声明函》。</w:t>
      </w:r>
    </w:p>
    <w:p w14:paraId="6FA02B2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（3）残疾人福利单位标准请参照《关于促进残疾人就业政府采购政策的通知》（财库〔2017〕141号）。</w:t>
      </w:r>
    </w:p>
    <w:p w14:paraId="751F4B8B">
      <w:pPr>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监狱和戒毒企业价格扣除</w:t>
      </w:r>
    </w:p>
    <w:p w14:paraId="26BEF0C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（1）本项目对监狱和戒毒企业（简称监狱企业）给予10%的价格扣除，用扣除后的价格参与评审。</w:t>
      </w:r>
    </w:p>
    <w:p w14:paraId="762B77B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75045DF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（3）监狱企业标准请参照《关于政府采购支持监狱企业发展有关问题的通知》（财库〔2014〕68号）。</w:t>
      </w:r>
    </w:p>
    <w:p w14:paraId="00E8C773">
      <w:pPr>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残疾人福利单位、监狱企业属于小型、微型企业的，不重复享受政策。</w:t>
      </w:r>
    </w:p>
    <w:p w14:paraId="1296DC87">
      <w:pPr>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5BD9A28A">
      <w:pPr>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6.</w:t>
      </w:r>
      <w:r>
        <w:rPr>
          <w:rFonts w:hint="eastAsia" w:ascii="宋体" w:hAnsi="宋体" w:eastAsia="宋体" w:cs="宋体"/>
          <w:color w:val="auto"/>
          <w:sz w:val="24"/>
          <w:szCs w:val="24"/>
          <w:highlight w:val="none"/>
        </w:rPr>
        <w:t>联合体各方均为小型、微型企业（残疾人福利单位、监狱企业）的，联合体享受上述同类价格扣除，用扣除后的价格参与评审。</w:t>
      </w:r>
    </w:p>
    <w:p w14:paraId="1548DF1D">
      <w:pPr>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7.</w:t>
      </w:r>
      <w:r>
        <w:rPr>
          <w:rFonts w:hint="eastAsia" w:ascii="宋体" w:hAnsi="宋体" w:eastAsia="宋体" w:cs="宋体"/>
          <w:color w:val="auto"/>
          <w:sz w:val="24"/>
          <w:szCs w:val="24"/>
          <w:highlight w:val="none"/>
        </w:rPr>
        <w:t>专门面向中小企业采购的项目或者采购包，不再执行价格评审优惠的扶持政策。</w:t>
      </w:r>
    </w:p>
    <w:p w14:paraId="301AC5D2">
      <w:pPr>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8.</w:t>
      </w:r>
      <w:r>
        <w:rPr>
          <w:rFonts w:hint="eastAsia" w:ascii="宋体" w:hAnsi="宋体" w:eastAsia="宋体" w:cs="宋体"/>
          <w:color w:val="auto"/>
          <w:sz w:val="24"/>
          <w:szCs w:val="24"/>
          <w:highlight w:val="none"/>
        </w:rPr>
        <w:t>根据《江苏省政府采购信用管理暂行办法》的规定，供应商信用评价结果为三星的扣2分，评价结果为二星的扣3分，评价结果为一星的扣4分。</w:t>
      </w:r>
    </w:p>
    <w:p w14:paraId="424AB34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（六）成交供应商的确定</w:t>
      </w:r>
    </w:p>
    <w:p w14:paraId="027F543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磋商小组汇总各评委评分后，按照评审得分由高到低顺序推荐</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名成交候选供应商，并编写评审报告。评审得分相同的，按照最后报价由低到高的顺序推荐。评审得分且最后报价相同的，按照</w:t>
      </w:r>
      <w:r>
        <w:rPr>
          <w:rFonts w:hint="eastAsia" w:ascii="宋体" w:hAnsi="宋体" w:cs="宋体"/>
          <w:color w:val="auto"/>
          <w:sz w:val="24"/>
          <w:szCs w:val="24"/>
          <w:highlight w:val="none"/>
          <w:lang w:val="en-US" w:eastAsia="zh-CN"/>
        </w:rPr>
        <w:t>服务方案</w:t>
      </w:r>
      <w:r>
        <w:rPr>
          <w:rFonts w:hint="eastAsia" w:ascii="宋体" w:hAnsi="宋体" w:eastAsia="宋体" w:cs="宋体"/>
          <w:color w:val="auto"/>
          <w:sz w:val="24"/>
          <w:szCs w:val="24"/>
          <w:highlight w:val="none"/>
        </w:rPr>
        <w:t>优劣顺序推荐，如</w:t>
      </w:r>
      <w:r>
        <w:rPr>
          <w:rFonts w:hint="eastAsia" w:ascii="宋体" w:hAnsi="宋体" w:cs="宋体"/>
          <w:color w:val="auto"/>
          <w:sz w:val="24"/>
          <w:szCs w:val="24"/>
          <w:highlight w:val="none"/>
          <w:lang w:val="en-US" w:eastAsia="zh-CN"/>
        </w:rPr>
        <w:t>服务方案</w:t>
      </w:r>
      <w:r>
        <w:rPr>
          <w:rFonts w:hint="eastAsia" w:ascii="宋体" w:hAnsi="宋体" w:eastAsia="宋体" w:cs="宋体"/>
          <w:color w:val="auto"/>
          <w:sz w:val="24"/>
          <w:szCs w:val="24"/>
          <w:highlight w:val="none"/>
        </w:rPr>
        <w:t>不能区分优劣顺序的，则通过抽签方式随机确定排名顺序。</w:t>
      </w:r>
    </w:p>
    <w:p w14:paraId="3FFC989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采购人应根据磋商小组推荐的成交候选供应商确定成交供应商。</w:t>
      </w:r>
    </w:p>
    <w:p w14:paraId="58CC0B8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（七）公告成交结果</w:t>
      </w:r>
    </w:p>
    <w:p w14:paraId="68AFBA7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自确定成交供应商之日起2个工作日内，在江苏政府采购网公告成交结果，公告期限为1个工作日。</w:t>
      </w:r>
    </w:p>
    <w:p w14:paraId="040E1FD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（八）发放成交通知书</w:t>
      </w:r>
    </w:p>
    <w:p w14:paraId="0B017B4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公告成交结果的同时，</w:t>
      </w:r>
      <w:r>
        <w:rPr>
          <w:rFonts w:hint="eastAsia" w:ascii="宋体" w:hAnsi="宋体" w:eastAsia="宋体" w:cs="宋体"/>
          <w:color w:val="auto"/>
          <w:sz w:val="24"/>
          <w:szCs w:val="24"/>
          <w:highlight w:val="none"/>
          <w:lang w:val="en-US" w:eastAsia="zh-CN"/>
        </w:rPr>
        <w:t>采购人或采购代理机构</w:t>
      </w:r>
      <w:r>
        <w:rPr>
          <w:rFonts w:hint="eastAsia" w:ascii="宋体" w:hAnsi="宋体" w:eastAsia="宋体" w:cs="宋体"/>
          <w:color w:val="auto"/>
          <w:sz w:val="24"/>
          <w:szCs w:val="24"/>
          <w:highlight w:val="none"/>
        </w:rPr>
        <w:t>向成交供应商发放成交通知书。请成交供应商在成交结果公告届满之日起30日内</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因未及时下载而造成的不利后果由成交供应商自行承担。</w:t>
      </w:r>
    </w:p>
    <w:p w14:paraId="0FBF4A8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成交通知书发出后，采购人不得违法改变成交结果，成交供应商无正当理由不得放弃成交。</w:t>
      </w:r>
    </w:p>
    <w:p w14:paraId="5DABCCA8">
      <w:pPr>
        <w:spacing w:line="360" w:lineRule="auto"/>
        <w:ind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签订合同时请成交供应商提供</w:t>
      </w:r>
      <w:r>
        <w:rPr>
          <w:rFonts w:hint="eastAsia" w:ascii="宋体" w:hAnsi="宋体" w:eastAsia="宋体" w:cs="宋体"/>
          <w:b/>
          <w:bCs/>
          <w:color w:val="auto"/>
          <w:sz w:val="24"/>
          <w:szCs w:val="24"/>
          <w:highlight w:val="none"/>
          <w:lang w:val="en-US" w:eastAsia="zh-CN"/>
        </w:rPr>
        <w:t>一正</w:t>
      </w:r>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副</w:t>
      </w:r>
      <w:r>
        <w:rPr>
          <w:rFonts w:hint="eastAsia" w:ascii="宋体" w:hAnsi="宋体" w:eastAsia="宋体" w:cs="宋体"/>
          <w:b/>
          <w:bCs/>
          <w:color w:val="auto"/>
          <w:sz w:val="24"/>
          <w:szCs w:val="24"/>
          <w:highlight w:val="none"/>
        </w:rPr>
        <w:t>纸质版响应文件至采购人处。</w:t>
      </w:r>
    </w:p>
    <w:p w14:paraId="0C436A9A">
      <w:pPr>
        <w:spacing w:line="360" w:lineRule="auto"/>
        <w:ind w:firstLine="480"/>
        <w:jc w:val="center"/>
        <w:rPr>
          <w:rFonts w:hint="eastAsia" w:ascii="宋体" w:hAnsi="宋体" w:eastAsia="宋体" w:cs="宋体"/>
          <w:bCs/>
          <w:color w:val="auto"/>
          <w:sz w:val="44"/>
          <w:szCs w:val="28"/>
          <w:highlight w:val="none"/>
        </w:rPr>
      </w:pPr>
    </w:p>
    <w:p w14:paraId="2BF29DA3">
      <w:pPr>
        <w:spacing w:line="360" w:lineRule="auto"/>
        <w:ind w:firstLine="480"/>
        <w:jc w:val="center"/>
        <w:rPr>
          <w:rFonts w:hint="eastAsia" w:ascii="宋体" w:hAnsi="宋体" w:eastAsia="宋体" w:cs="宋体"/>
          <w:bCs/>
          <w:color w:val="auto"/>
          <w:sz w:val="44"/>
          <w:szCs w:val="28"/>
          <w:highlight w:val="none"/>
        </w:rPr>
      </w:pPr>
    </w:p>
    <w:p w14:paraId="77666DDE">
      <w:pPr>
        <w:spacing w:line="360" w:lineRule="auto"/>
        <w:ind w:firstLine="480"/>
        <w:jc w:val="center"/>
        <w:rPr>
          <w:rFonts w:hint="eastAsia" w:ascii="宋体" w:hAnsi="宋体" w:eastAsia="宋体" w:cs="宋体"/>
          <w:bCs/>
          <w:color w:val="auto"/>
          <w:sz w:val="44"/>
          <w:szCs w:val="28"/>
          <w:highlight w:val="none"/>
        </w:rPr>
      </w:pPr>
    </w:p>
    <w:p w14:paraId="7EEC1A20">
      <w:pPr>
        <w:spacing w:line="360" w:lineRule="auto"/>
        <w:ind w:firstLine="480"/>
        <w:jc w:val="center"/>
        <w:rPr>
          <w:rFonts w:hint="eastAsia" w:ascii="宋体" w:hAnsi="宋体" w:eastAsia="宋体" w:cs="宋体"/>
          <w:bCs/>
          <w:color w:val="auto"/>
          <w:sz w:val="44"/>
          <w:szCs w:val="28"/>
          <w:highlight w:val="none"/>
        </w:rPr>
      </w:pPr>
    </w:p>
    <w:p w14:paraId="1EE9A65C">
      <w:pPr>
        <w:spacing w:line="360" w:lineRule="auto"/>
        <w:ind w:firstLine="480"/>
        <w:jc w:val="center"/>
        <w:rPr>
          <w:rFonts w:hint="eastAsia" w:ascii="宋体" w:hAnsi="宋体" w:eastAsia="宋体" w:cs="宋体"/>
          <w:bCs/>
          <w:color w:val="auto"/>
          <w:sz w:val="44"/>
          <w:szCs w:val="28"/>
          <w:highlight w:val="none"/>
        </w:rPr>
      </w:pPr>
    </w:p>
    <w:p w14:paraId="5556CC9B">
      <w:pPr>
        <w:spacing w:line="360" w:lineRule="auto"/>
        <w:ind w:firstLine="480"/>
        <w:jc w:val="center"/>
        <w:rPr>
          <w:rFonts w:hint="eastAsia" w:ascii="宋体" w:hAnsi="宋体" w:eastAsia="宋体" w:cs="宋体"/>
          <w:bCs/>
          <w:color w:val="auto"/>
          <w:sz w:val="44"/>
          <w:szCs w:val="28"/>
          <w:highlight w:val="none"/>
        </w:rPr>
      </w:pPr>
    </w:p>
    <w:p w14:paraId="46CFD1BB">
      <w:pPr>
        <w:spacing w:line="360" w:lineRule="auto"/>
        <w:ind w:firstLine="480"/>
        <w:jc w:val="center"/>
        <w:rPr>
          <w:rFonts w:hint="eastAsia" w:ascii="宋体" w:hAnsi="宋体" w:eastAsia="宋体" w:cs="宋体"/>
          <w:bCs/>
          <w:color w:val="auto"/>
          <w:sz w:val="44"/>
          <w:szCs w:val="28"/>
          <w:highlight w:val="none"/>
        </w:rPr>
      </w:pPr>
    </w:p>
    <w:p w14:paraId="662810E6">
      <w:pPr>
        <w:spacing w:line="360" w:lineRule="auto"/>
        <w:ind w:firstLine="480"/>
        <w:jc w:val="center"/>
        <w:rPr>
          <w:rFonts w:hint="eastAsia" w:ascii="宋体" w:hAnsi="宋体" w:eastAsia="宋体" w:cs="宋体"/>
          <w:bCs/>
          <w:color w:val="auto"/>
          <w:sz w:val="44"/>
          <w:szCs w:val="28"/>
          <w:highlight w:val="none"/>
        </w:rPr>
      </w:pPr>
    </w:p>
    <w:p w14:paraId="3767AF4F">
      <w:pPr>
        <w:spacing w:line="360" w:lineRule="auto"/>
        <w:ind w:firstLine="480"/>
        <w:jc w:val="center"/>
        <w:rPr>
          <w:rFonts w:hint="eastAsia" w:ascii="宋体" w:hAnsi="宋体" w:eastAsia="宋体" w:cs="宋体"/>
          <w:bCs/>
          <w:color w:val="auto"/>
          <w:sz w:val="44"/>
          <w:szCs w:val="28"/>
          <w:highlight w:val="none"/>
        </w:rPr>
      </w:pPr>
    </w:p>
    <w:p w14:paraId="40C3C6A8">
      <w:pPr>
        <w:spacing w:line="360" w:lineRule="auto"/>
        <w:ind w:firstLine="480"/>
        <w:jc w:val="center"/>
        <w:rPr>
          <w:rFonts w:hint="eastAsia" w:ascii="宋体" w:hAnsi="宋体" w:eastAsia="宋体" w:cs="宋体"/>
          <w:bCs/>
          <w:color w:val="auto"/>
          <w:sz w:val="44"/>
          <w:szCs w:val="28"/>
          <w:highlight w:val="none"/>
        </w:rPr>
      </w:pPr>
    </w:p>
    <w:p w14:paraId="270900C5">
      <w:pPr>
        <w:spacing w:line="360" w:lineRule="auto"/>
        <w:ind w:firstLine="480"/>
        <w:jc w:val="center"/>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t>第</w:t>
      </w:r>
      <w:r>
        <w:rPr>
          <w:rFonts w:hint="eastAsia" w:ascii="宋体" w:hAnsi="宋体" w:eastAsia="宋体" w:cs="宋体"/>
          <w:bCs/>
          <w:color w:val="auto"/>
          <w:sz w:val="44"/>
          <w:szCs w:val="28"/>
          <w:highlight w:val="none"/>
          <w:lang w:val="en-US" w:eastAsia="zh-CN"/>
        </w:rPr>
        <w:t>五部分</w:t>
      </w:r>
      <w:r>
        <w:rPr>
          <w:rFonts w:hint="eastAsia" w:ascii="宋体" w:hAnsi="宋体" w:eastAsia="宋体" w:cs="宋体"/>
          <w:bCs/>
          <w:color w:val="auto"/>
          <w:sz w:val="44"/>
          <w:szCs w:val="28"/>
          <w:highlight w:val="none"/>
        </w:rPr>
        <w:t xml:space="preserve">  </w:t>
      </w:r>
      <w:bookmarkEnd w:id="133"/>
      <w:bookmarkEnd w:id="134"/>
      <w:bookmarkEnd w:id="137"/>
      <w:r>
        <w:rPr>
          <w:rFonts w:hint="eastAsia" w:ascii="宋体" w:hAnsi="宋体" w:eastAsia="宋体" w:cs="宋体"/>
          <w:bCs/>
          <w:color w:val="auto"/>
          <w:sz w:val="44"/>
          <w:szCs w:val="28"/>
          <w:highlight w:val="none"/>
        </w:rPr>
        <w:t>响应文件格式</w:t>
      </w:r>
    </w:p>
    <w:bookmarkEnd w:id="131"/>
    <w:bookmarkEnd w:id="132"/>
    <w:p w14:paraId="0EE16322">
      <w:pPr>
        <w:spacing w:line="440" w:lineRule="exact"/>
        <w:ind w:firstLine="482"/>
        <w:rPr>
          <w:rFonts w:hint="eastAsia" w:ascii="宋体" w:hAnsi="宋体" w:eastAsia="宋体" w:cs="宋体"/>
          <w:b/>
          <w:bCs/>
          <w:color w:val="auto"/>
          <w:sz w:val="24"/>
          <w:szCs w:val="21"/>
          <w:highlight w:val="none"/>
        </w:rPr>
      </w:pPr>
      <w:bookmarkStart w:id="138" w:name="_Hlt26671244"/>
      <w:bookmarkEnd w:id="138"/>
      <w:bookmarkStart w:id="139" w:name="_Hlt26955039"/>
      <w:bookmarkEnd w:id="139"/>
      <w:r>
        <w:rPr>
          <w:rFonts w:hint="eastAsia" w:ascii="宋体" w:hAnsi="宋体" w:eastAsia="宋体" w:cs="宋体"/>
          <w:b/>
          <w:bCs/>
          <w:color w:val="auto"/>
          <w:sz w:val="24"/>
          <w:szCs w:val="21"/>
          <w:highlight w:val="none"/>
        </w:rPr>
        <w:t>一、基本目录</w:t>
      </w:r>
    </w:p>
    <w:p w14:paraId="4D860893">
      <w:pPr>
        <w:spacing w:line="44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1.目录</w:t>
      </w:r>
    </w:p>
    <w:p w14:paraId="291707D7">
      <w:pPr>
        <w:spacing w:line="44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2.磋商报价表（格式见附件）；</w:t>
      </w:r>
    </w:p>
    <w:p w14:paraId="043DB9E5">
      <w:pPr>
        <w:spacing w:line="440" w:lineRule="exact"/>
        <w:ind w:firstLine="480"/>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rPr>
        <w:t>3.</w:t>
      </w:r>
      <w:r>
        <w:rPr>
          <w:rFonts w:hint="eastAsia" w:ascii="宋体" w:hAnsi="宋体" w:eastAsia="宋体" w:cs="宋体"/>
          <w:color w:val="auto"/>
          <w:sz w:val="24"/>
          <w:szCs w:val="21"/>
          <w:highlight w:val="none"/>
          <w:lang w:val="zh-CN"/>
        </w:rPr>
        <w:t>法定代表人身份证明书</w:t>
      </w:r>
      <w:r>
        <w:rPr>
          <w:rFonts w:hint="eastAsia" w:ascii="宋体" w:hAnsi="宋体" w:eastAsia="宋体" w:cs="宋体"/>
          <w:color w:val="auto"/>
          <w:sz w:val="24"/>
          <w:szCs w:val="21"/>
          <w:highlight w:val="none"/>
          <w:lang w:val="en-US" w:eastAsia="zh-CN"/>
        </w:rPr>
        <w:t>及</w:t>
      </w:r>
      <w:r>
        <w:rPr>
          <w:rFonts w:hint="eastAsia" w:ascii="宋体" w:hAnsi="宋体" w:eastAsia="宋体" w:cs="宋体"/>
          <w:color w:val="auto"/>
          <w:sz w:val="24"/>
          <w:szCs w:val="21"/>
          <w:highlight w:val="none"/>
          <w:lang w:val="zh-CN"/>
        </w:rPr>
        <w:t>法定代表人授权委托书原件（格式见附件）；</w:t>
      </w:r>
    </w:p>
    <w:p w14:paraId="633FCEF4">
      <w:pPr>
        <w:spacing w:line="44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4.其他材料。</w:t>
      </w:r>
    </w:p>
    <w:p w14:paraId="420AE058">
      <w:pPr>
        <w:spacing w:line="440" w:lineRule="exact"/>
        <w:ind w:firstLine="482"/>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二、资格审查材料</w:t>
      </w:r>
    </w:p>
    <w:p w14:paraId="58D0AA31">
      <w:pPr>
        <w:spacing w:line="44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1.供应商符合《中华人民共和国政府采购法》第二十二条规定条件的声明函（格式见附件）；</w:t>
      </w:r>
    </w:p>
    <w:p w14:paraId="443EEB85">
      <w:pPr>
        <w:spacing w:line="44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2.提供法人或者其他组织的营业执照等证明文件，自然人的身份证明；</w:t>
      </w:r>
    </w:p>
    <w:p w14:paraId="7A857D05">
      <w:pPr>
        <w:spacing w:line="440" w:lineRule="exact"/>
        <w:ind w:firstLine="480"/>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3.</w:t>
      </w:r>
      <w:r>
        <w:rPr>
          <w:rFonts w:hint="eastAsia" w:ascii="宋体" w:hAnsi="宋体" w:eastAsia="宋体" w:cs="宋体"/>
          <w:color w:val="auto"/>
          <w:sz w:val="24"/>
          <w:szCs w:val="21"/>
          <w:highlight w:val="none"/>
        </w:rPr>
        <w:t>在全国投资项目在线审批监管平台备案截图</w:t>
      </w:r>
      <w:r>
        <w:rPr>
          <w:rFonts w:hint="eastAsia" w:ascii="宋体" w:hAnsi="宋体" w:eastAsia="宋体" w:cs="宋体"/>
          <w:color w:val="auto"/>
          <w:sz w:val="24"/>
          <w:szCs w:val="21"/>
          <w:highlight w:val="none"/>
          <w:lang w:eastAsia="zh-CN"/>
        </w:rPr>
        <w:t>；</w:t>
      </w:r>
    </w:p>
    <w:p w14:paraId="1C007B68">
      <w:pPr>
        <w:spacing w:line="440" w:lineRule="exact"/>
        <w:ind w:firstLine="480"/>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4.提供拟派项目负责人职称证书及注册安全工程师证书；</w:t>
      </w:r>
    </w:p>
    <w:p w14:paraId="293FA9A3">
      <w:pPr>
        <w:spacing w:line="440" w:lineRule="exact"/>
        <w:ind w:firstLine="480"/>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5.提供拟派项目负责人社保缴费证明；</w:t>
      </w:r>
    </w:p>
    <w:p w14:paraId="34FED3DB">
      <w:pPr>
        <w:spacing w:line="440" w:lineRule="exact"/>
        <w:ind w:firstLine="480"/>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6.供应商信用承诺书（</w:t>
      </w:r>
      <w:r>
        <w:rPr>
          <w:rFonts w:hint="eastAsia" w:ascii="宋体" w:hAnsi="宋体" w:eastAsia="宋体" w:cs="宋体"/>
          <w:color w:val="auto"/>
          <w:sz w:val="24"/>
          <w:szCs w:val="21"/>
          <w:highlight w:val="none"/>
        </w:rPr>
        <w:t>格式见附件）；</w:t>
      </w:r>
    </w:p>
    <w:p w14:paraId="70F493D0">
      <w:pPr>
        <w:spacing w:line="440" w:lineRule="exact"/>
        <w:ind w:firstLine="480"/>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7.中小企业声明函</w:t>
      </w:r>
      <w:r>
        <w:rPr>
          <w:rFonts w:hint="eastAsia" w:ascii="宋体" w:hAnsi="宋体" w:eastAsia="宋体" w:cs="宋体"/>
          <w:color w:val="auto"/>
          <w:sz w:val="24"/>
          <w:szCs w:val="21"/>
          <w:highlight w:val="none"/>
          <w:lang w:val="zh-CN"/>
        </w:rPr>
        <w:t>（</w:t>
      </w:r>
      <w:r>
        <w:rPr>
          <w:rFonts w:hint="eastAsia" w:ascii="宋体" w:hAnsi="宋体" w:eastAsia="宋体" w:cs="宋体"/>
          <w:color w:val="auto"/>
          <w:sz w:val="24"/>
          <w:szCs w:val="21"/>
          <w:highlight w:val="none"/>
          <w:lang w:val="en-US" w:eastAsia="zh-CN"/>
        </w:rPr>
        <w:t>如符合需提供，</w:t>
      </w:r>
      <w:r>
        <w:rPr>
          <w:rFonts w:hint="eastAsia" w:ascii="宋体" w:hAnsi="宋体" w:eastAsia="宋体" w:cs="宋体"/>
          <w:color w:val="auto"/>
          <w:sz w:val="24"/>
          <w:szCs w:val="21"/>
          <w:highlight w:val="none"/>
          <w:lang w:val="zh-CN"/>
        </w:rPr>
        <w:t>格式见附件）</w:t>
      </w:r>
      <w:r>
        <w:rPr>
          <w:rFonts w:hint="eastAsia" w:ascii="宋体" w:hAnsi="宋体" w:eastAsia="宋体" w:cs="宋体"/>
          <w:color w:val="auto"/>
          <w:sz w:val="24"/>
          <w:szCs w:val="21"/>
          <w:highlight w:val="none"/>
          <w:lang w:val="zh-CN" w:eastAsia="zh-CN"/>
        </w:rPr>
        <w:t>；</w:t>
      </w:r>
    </w:p>
    <w:p w14:paraId="361DDE41">
      <w:pPr>
        <w:spacing w:line="440" w:lineRule="exact"/>
        <w:ind w:firstLine="480"/>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8.监狱企业证明函（如符合监狱企业的需提供，</w:t>
      </w:r>
      <w:r>
        <w:rPr>
          <w:rFonts w:hint="eastAsia" w:ascii="宋体" w:hAnsi="宋体" w:eastAsia="宋体" w:cs="宋体"/>
          <w:color w:val="auto"/>
          <w:sz w:val="24"/>
          <w:szCs w:val="21"/>
          <w:highlight w:val="none"/>
          <w:lang w:val="zh-CN"/>
        </w:rPr>
        <w:t>格式见附件</w:t>
      </w:r>
      <w:r>
        <w:rPr>
          <w:rFonts w:hint="eastAsia" w:ascii="宋体" w:hAnsi="宋体" w:eastAsia="宋体" w:cs="宋体"/>
          <w:color w:val="auto"/>
          <w:sz w:val="24"/>
          <w:szCs w:val="21"/>
          <w:highlight w:val="none"/>
          <w:lang w:val="en-US" w:eastAsia="zh-CN"/>
        </w:rPr>
        <w:t>）；</w:t>
      </w:r>
    </w:p>
    <w:p w14:paraId="250E2881">
      <w:pPr>
        <w:spacing w:line="440" w:lineRule="exact"/>
        <w:ind w:firstLine="480"/>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9.残疾人福利性单位声明函（如符合残疾人福利性单位的需提供，</w:t>
      </w:r>
      <w:r>
        <w:rPr>
          <w:rFonts w:hint="eastAsia" w:ascii="宋体" w:hAnsi="宋体" w:eastAsia="宋体" w:cs="宋体"/>
          <w:color w:val="auto"/>
          <w:sz w:val="24"/>
          <w:szCs w:val="21"/>
          <w:highlight w:val="none"/>
          <w:lang w:val="zh-CN"/>
        </w:rPr>
        <w:t>格式见附件</w:t>
      </w:r>
      <w:r>
        <w:rPr>
          <w:rFonts w:hint="eastAsia" w:ascii="宋体" w:hAnsi="宋体" w:eastAsia="宋体" w:cs="宋体"/>
          <w:color w:val="auto"/>
          <w:sz w:val="24"/>
          <w:szCs w:val="21"/>
          <w:highlight w:val="none"/>
          <w:lang w:val="en-US" w:eastAsia="zh-CN"/>
        </w:rPr>
        <w:t>）；</w:t>
      </w:r>
    </w:p>
    <w:p w14:paraId="7786DFA4">
      <w:pPr>
        <w:spacing w:line="44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10</w:t>
      </w:r>
      <w:r>
        <w:rPr>
          <w:rFonts w:hint="eastAsia" w:ascii="宋体" w:hAnsi="宋体" w:eastAsia="宋体" w:cs="宋体"/>
          <w:color w:val="auto"/>
          <w:sz w:val="24"/>
          <w:szCs w:val="21"/>
          <w:highlight w:val="none"/>
        </w:rPr>
        <w:t>.其他需要提交的资格审查证明材料</w:t>
      </w:r>
      <w:r>
        <w:rPr>
          <w:rFonts w:hint="eastAsia" w:ascii="宋体" w:hAnsi="宋体" w:eastAsia="宋体" w:cs="宋体"/>
          <w:color w:val="auto"/>
          <w:sz w:val="24"/>
          <w:szCs w:val="21"/>
          <w:highlight w:val="none"/>
          <w:lang w:val="zh-CN"/>
        </w:rPr>
        <w:t>；</w:t>
      </w:r>
    </w:p>
    <w:p w14:paraId="6C7158AD">
      <w:pPr>
        <w:spacing w:line="440" w:lineRule="exact"/>
        <w:ind w:firstLine="482"/>
        <w:rPr>
          <w:rFonts w:hint="eastAsia" w:ascii="宋体" w:hAnsi="宋体" w:eastAsia="宋体" w:cs="宋体"/>
          <w:b/>
          <w:bCs/>
          <w:color w:val="auto"/>
          <w:sz w:val="24"/>
          <w:szCs w:val="21"/>
          <w:highlight w:val="none"/>
          <w:lang w:val="zh-CN"/>
        </w:rPr>
      </w:pPr>
      <w:r>
        <w:rPr>
          <w:rFonts w:hint="eastAsia" w:ascii="宋体" w:hAnsi="宋体" w:eastAsia="宋体" w:cs="宋体"/>
          <w:b/>
          <w:bCs/>
          <w:color w:val="auto"/>
          <w:sz w:val="24"/>
          <w:szCs w:val="21"/>
          <w:highlight w:val="none"/>
        </w:rPr>
        <w:t xml:space="preserve">三、 </w:t>
      </w:r>
      <w:r>
        <w:rPr>
          <w:rFonts w:hint="eastAsia" w:ascii="宋体" w:hAnsi="宋体" w:eastAsia="宋体" w:cs="宋体"/>
          <w:b/>
          <w:bCs/>
          <w:color w:val="auto"/>
          <w:sz w:val="24"/>
          <w:szCs w:val="21"/>
          <w:highlight w:val="none"/>
          <w:lang w:val="zh-CN"/>
        </w:rPr>
        <w:t>符合性条件材料</w:t>
      </w:r>
    </w:p>
    <w:p w14:paraId="340CD2B1">
      <w:pPr>
        <w:spacing w:line="440" w:lineRule="exact"/>
        <w:ind w:firstLine="480"/>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rPr>
        <w:t>1.磋商响应函</w:t>
      </w: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rPr>
        <w:t>格式见附件</w:t>
      </w: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lang w:val="zh-CN"/>
        </w:rPr>
        <w:t>；</w:t>
      </w:r>
    </w:p>
    <w:p w14:paraId="063E6FE5">
      <w:pPr>
        <w:spacing w:line="440" w:lineRule="exact"/>
        <w:ind w:firstLine="480"/>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4"/>
          <w:highlight w:val="none"/>
          <w:lang w:val="en-US" w:eastAsia="zh-CN"/>
        </w:rPr>
        <w:t>2.分项报价明细表</w:t>
      </w:r>
      <w:r>
        <w:rPr>
          <w:rFonts w:hint="eastAsia" w:ascii="宋体" w:hAnsi="宋体" w:eastAsia="宋体" w:cs="宋体"/>
          <w:color w:val="auto"/>
          <w:sz w:val="24"/>
          <w:szCs w:val="24"/>
          <w:highlight w:val="none"/>
          <w:lang w:val="zh-CN" w:eastAsia="en-US"/>
        </w:rPr>
        <w:t>（格式见附件）；</w:t>
      </w:r>
    </w:p>
    <w:p w14:paraId="5BD58670">
      <w:pPr>
        <w:spacing w:line="44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3</w:t>
      </w:r>
      <w:r>
        <w:rPr>
          <w:rFonts w:hint="eastAsia" w:ascii="宋体" w:hAnsi="宋体" w:eastAsia="宋体" w:cs="宋体"/>
          <w:color w:val="auto"/>
          <w:sz w:val="24"/>
          <w:szCs w:val="21"/>
          <w:highlight w:val="none"/>
        </w:rPr>
        <w:t>.技术部分正负偏离表（格式见附件）</w:t>
      </w:r>
      <w:r>
        <w:rPr>
          <w:rFonts w:hint="eastAsia" w:ascii="宋体" w:hAnsi="宋体" w:eastAsia="宋体" w:cs="宋体"/>
          <w:color w:val="auto"/>
          <w:sz w:val="24"/>
          <w:szCs w:val="21"/>
          <w:highlight w:val="none"/>
          <w:lang w:val="zh-CN"/>
        </w:rPr>
        <w:t>；</w:t>
      </w:r>
    </w:p>
    <w:p w14:paraId="5107A841">
      <w:pPr>
        <w:spacing w:line="44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4</w:t>
      </w:r>
      <w:r>
        <w:rPr>
          <w:rFonts w:hint="eastAsia" w:ascii="宋体" w:hAnsi="宋体" w:eastAsia="宋体" w:cs="宋体"/>
          <w:color w:val="auto"/>
          <w:sz w:val="24"/>
          <w:szCs w:val="21"/>
          <w:highlight w:val="none"/>
        </w:rPr>
        <w:t>.商务部分正负偏离表（格式见附件）</w:t>
      </w:r>
      <w:r>
        <w:rPr>
          <w:rFonts w:hint="eastAsia" w:ascii="宋体" w:hAnsi="宋体" w:eastAsia="宋体" w:cs="宋体"/>
          <w:color w:val="auto"/>
          <w:sz w:val="24"/>
          <w:szCs w:val="21"/>
          <w:highlight w:val="none"/>
          <w:lang w:val="zh-CN"/>
        </w:rPr>
        <w:t>；</w:t>
      </w:r>
    </w:p>
    <w:p w14:paraId="375E9CB8">
      <w:pPr>
        <w:spacing w:line="440" w:lineRule="exact"/>
        <w:ind w:firstLine="482"/>
        <w:rPr>
          <w:rFonts w:hint="eastAsia" w:ascii="宋体" w:hAnsi="宋体" w:eastAsia="宋体" w:cs="宋体"/>
          <w:b/>
          <w:bCs/>
          <w:color w:val="auto"/>
          <w:sz w:val="24"/>
          <w:szCs w:val="21"/>
          <w:highlight w:val="none"/>
          <w:lang w:val="zh-CN"/>
        </w:rPr>
      </w:pPr>
      <w:r>
        <w:rPr>
          <w:rFonts w:hint="eastAsia" w:ascii="宋体" w:hAnsi="宋体" w:eastAsia="宋体" w:cs="宋体"/>
          <w:b/>
          <w:bCs/>
          <w:color w:val="auto"/>
          <w:sz w:val="24"/>
          <w:szCs w:val="21"/>
          <w:highlight w:val="none"/>
        </w:rPr>
        <w:t>四、</w:t>
      </w:r>
      <w:r>
        <w:rPr>
          <w:rFonts w:hint="eastAsia" w:ascii="宋体" w:hAnsi="宋体" w:eastAsia="宋体" w:cs="宋体"/>
          <w:b/>
          <w:bCs/>
          <w:color w:val="auto"/>
          <w:sz w:val="24"/>
          <w:szCs w:val="21"/>
          <w:highlight w:val="none"/>
          <w:lang w:val="zh-CN"/>
        </w:rPr>
        <w:t>商务技术文件材料</w:t>
      </w:r>
    </w:p>
    <w:p w14:paraId="0F572B6F">
      <w:pPr>
        <w:spacing w:line="44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供应商根据磋商文件打分项，提交的材料；</w:t>
      </w:r>
    </w:p>
    <w:p w14:paraId="2561C614">
      <w:pPr>
        <w:spacing w:line="440" w:lineRule="exact"/>
        <w:ind w:firstLine="482"/>
        <w:rPr>
          <w:rFonts w:hint="eastAsia" w:ascii="宋体" w:hAnsi="宋体" w:eastAsia="宋体" w:cs="宋体"/>
          <w:b/>
          <w:bCs/>
          <w:color w:val="auto"/>
          <w:sz w:val="24"/>
          <w:szCs w:val="21"/>
          <w:highlight w:val="none"/>
          <w:lang w:val="zh-CN"/>
        </w:rPr>
      </w:pPr>
      <w:r>
        <w:rPr>
          <w:rFonts w:hint="eastAsia" w:ascii="宋体" w:hAnsi="宋体" w:eastAsia="宋体" w:cs="宋体"/>
          <w:b/>
          <w:bCs/>
          <w:color w:val="auto"/>
          <w:sz w:val="24"/>
          <w:szCs w:val="21"/>
          <w:highlight w:val="none"/>
        </w:rPr>
        <w:t>五、</w:t>
      </w:r>
      <w:r>
        <w:rPr>
          <w:rFonts w:hint="eastAsia" w:ascii="宋体" w:hAnsi="宋体" w:eastAsia="宋体" w:cs="宋体"/>
          <w:b/>
          <w:bCs/>
          <w:color w:val="auto"/>
          <w:sz w:val="24"/>
          <w:szCs w:val="21"/>
          <w:highlight w:val="none"/>
          <w:lang w:val="zh-CN"/>
        </w:rPr>
        <w:t>报价折扣证明材料</w:t>
      </w:r>
    </w:p>
    <w:p w14:paraId="64118C77">
      <w:pPr>
        <w:spacing w:line="440" w:lineRule="exact"/>
        <w:ind w:firstLine="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本项目</w:t>
      </w:r>
      <w:r>
        <w:rPr>
          <w:rFonts w:hint="eastAsia" w:ascii="宋体" w:hAnsi="宋体" w:eastAsia="宋体" w:cs="宋体"/>
          <w:bCs/>
          <w:color w:val="auto"/>
          <w:sz w:val="24"/>
          <w:highlight w:val="none"/>
        </w:rPr>
        <w:t>专门面向中小微企业采购，不再执行价格评审优惠的扶持政策。</w:t>
      </w:r>
    </w:p>
    <w:p w14:paraId="56C492D5">
      <w:pPr>
        <w:pStyle w:val="2"/>
        <w:rPr>
          <w:rFonts w:hint="eastAsia"/>
          <w:color w:val="auto"/>
          <w:highlight w:val="none"/>
        </w:rPr>
      </w:pPr>
    </w:p>
    <w:p w14:paraId="46CE6BC4">
      <w:pPr>
        <w:widowControl/>
        <w:numPr>
          <w:ilvl w:val="0"/>
          <w:numId w:val="0"/>
        </w:numPr>
        <w:spacing w:line="440" w:lineRule="exact"/>
        <w:ind w:left="0" w:right="0" w:firstLine="482"/>
        <w:jc w:val="left"/>
        <w:rPr>
          <w:rFonts w:hint="eastAsia" w:ascii="宋体" w:hAnsi="宋体" w:eastAsia="宋体" w:cs="宋体"/>
          <w:b/>
          <w:bCs/>
          <w:color w:val="auto"/>
          <w:sz w:val="24"/>
          <w:szCs w:val="21"/>
          <w:highlight w:val="none"/>
          <w:u w:val="none"/>
          <w:lang w:val="zh-CN"/>
        </w:rPr>
      </w:pPr>
      <w:r>
        <w:rPr>
          <w:rFonts w:hint="eastAsia" w:ascii="宋体" w:hAnsi="宋体" w:eastAsia="宋体" w:cs="宋体"/>
          <w:b/>
          <w:bCs/>
          <w:color w:val="auto"/>
          <w:sz w:val="24"/>
          <w:szCs w:val="21"/>
          <w:highlight w:val="none"/>
          <w:lang w:val="zh-CN" w:eastAsia="zh-CN"/>
        </w:rPr>
        <w:t>注：①</w:t>
      </w:r>
      <w:r>
        <w:rPr>
          <w:rFonts w:hint="eastAsia" w:ascii="宋体" w:hAnsi="宋体" w:eastAsia="宋体" w:cs="宋体"/>
          <w:b/>
          <w:bCs/>
          <w:color w:val="auto"/>
          <w:sz w:val="24"/>
          <w:szCs w:val="21"/>
          <w:highlight w:val="none"/>
          <w:lang w:val="en-US" w:eastAsia="zh-CN"/>
        </w:rPr>
        <w:t>投标格式中供应商或授权单位或承诺人（盖章）</w:t>
      </w:r>
      <w:r>
        <w:rPr>
          <w:rFonts w:hint="eastAsia" w:ascii="宋体" w:hAnsi="宋体" w:eastAsia="宋体" w:cs="宋体"/>
          <w:b/>
          <w:bCs/>
          <w:color w:val="auto"/>
          <w:sz w:val="24"/>
          <w:szCs w:val="21"/>
          <w:highlight w:val="none"/>
          <w:u w:val="none"/>
          <w:lang w:val="en-US"/>
        </w:rPr>
        <w:t>之处</w:t>
      </w:r>
      <w:r>
        <w:rPr>
          <w:rFonts w:hint="eastAsia" w:ascii="宋体" w:hAnsi="宋体" w:eastAsia="宋体" w:cs="宋体"/>
          <w:b/>
          <w:bCs/>
          <w:color w:val="auto"/>
          <w:sz w:val="24"/>
          <w:szCs w:val="21"/>
          <w:highlight w:val="none"/>
          <w:u w:val="none"/>
          <w:lang w:val="en-US" w:eastAsia="zh-CN"/>
        </w:rPr>
        <w:t>可使用</w:t>
      </w:r>
      <w:r>
        <w:rPr>
          <w:rFonts w:hint="eastAsia" w:ascii="宋体" w:hAnsi="宋体" w:eastAsia="宋体" w:cs="宋体"/>
          <w:b/>
          <w:bCs/>
          <w:color w:val="auto"/>
          <w:sz w:val="24"/>
          <w:szCs w:val="21"/>
          <w:highlight w:val="none"/>
          <w:u w:val="none"/>
          <w:lang w:val="zh-CN"/>
        </w:rPr>
        <w:t>CA</w:t>
      </w:r>
      <w:r>
        <w:rPr>
          <w:rFonts w:hint="eastAsia" w:ascii="宋体" w:hAnsi="宋体" w:eastAsia="宋体" w:cs="宋体"/>
          <w:b/>
          <w:bCs/>
          <w:color w:val="auto"/>
          <w:sz w:val="24"/>
          <w:szCs w:val="21"/>
          <w:highlight w:val="none"/>
          <w:u w:val="none"/>
          <w:lang w:val="en-US" w:eastAsia="zh-CN"/>
        </w:rPr>
        <w:t>电子签章，亦可将供应商加盖公章后的原件扫描件上传至电子投标文件内</w:t>
      </w:r>
      <w:r>
        <w:rPr>
          <w:rFonts w:hint="eastAsia" w:ascii="宋体" w:hAnsi="宋体" w:eastAsia="宋体" w:cs="宋体"/>
          <w:b/>
          <w:bCs/>
          <w:color w:val="auto"/>
          <w:sz w:val="24"/>
          <w:szCs w:val="21"/>
          <w:highlight w:val="none"/>
          <w:u w:val="none"/>
          <w:lang w:val="zh-CN"/>
        </w:rPr>
        <w:t>。</w:t>
      </w:r>
    </w:p>
    <w:p w14:paraId="12206A51">
      <w:pPr>
        <w:spacing w:line="440" w:lineRule="exact"/>
        <w:ind w:firstLine="482"/>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u w:val="none"/>
          <w:lang w:val="zh-CN"/>
        </w:rPr>
        <w:t>②</w:t>
      </w:r>
      <w:r>
        <w:rPr>
          <w:rFonts w:hint="eastAsia" w:ascii="宋体" w:hAnsi="宋体" w:eastAsia="宋体" w:cs="宋体"/>
          <w:b/>
          <w:bCs/>
          <w:color w:val="auto"/>
          <w:sz w:val="24"/>
          <w:szCs w:val="21"/>
          <w:highlight w:val="none"/>
          <w:u w:val="none"/>
          <w:lang w:val="zh-CN" w:eastAsia="zh-CN"/>
        </w:rPr>
        <w:t>投标格式中</w:t>
      </w:r>
      <w:r>
        <w:rPr>
          <w:rFonts w:hint="eastAsia" w:ascii="宋体" w:hAnsi="宋体" w:eastAsia="宋体" w:cs="宋体"/>
          <w:b/>
          <w:bCs/>
          <w:color w:val="auto"/>
          <w:sz w:val="24"/>
          <w:szCs w:val="21"/>
          <w:highlight w:val="none"/>
          <w:u w:val="none"/>
          <w:lang w:val="zh-CN"/>
        </w:rPr>
        <w:t>法定代表人或其委托代理人（</w:t>
      </w:r>
      <w:r>
        <w:rPr>
          <w:rFonts w:hint="eastAsia" w:ascii="宋体" w:hAnsi="宋体" w:eastAsia="宋体" w:cs="宋体"/>
          <w:b/>
          <w:bCs/>
          <w:color w:val="auto"/>
          <w:sz w:val="24"/>
          <w:szCs w:val="21"/>
          <w:highlight w:val="none"/>
          <w:u w:val="none"/>
          <w:lang w:val="en-US" w:eastAsia="zh-CN"/>
        </w:rPr>
        <w:t>签字或盖章</w:t>
      </w:r>
      <w:r>
        <w:rPr>
          <w:rFonts w:hint="eastAsia" w:ascii="宋体" w:hAnsi="宋体" w:eastAsia="宋体" w:cs="宋体"/>
          <w:b/>
          <w:bCs/>
          <w:color w:val="auto"/>
          <w:sz w:val="24"/>
          <w:szCs w:val="21"/>
          <w:highlight w:val="none"/>
          <w:u w:val="none"/>
          <w:lang w:val="zh-CN"/>
        </w:rPr>
        <w:t>）之处</w:t>
      </w:r>
      <w:r>
        <w:rPr>
          <w:rFonts w:hint="eastAsia" w:ascii="宋体" w:hAnsi="宋体" w:eastAsia="宋体" w:cs="宋体"/>
          <w:b/>
          <w:bCs/>
          <w:color w:val="auto"/>
          <w:sz w:val="24"/>
          <w:szCs w:val="21"/>
          <w:highlight w:val="none"/>
          <w:u w:val="none"/>
          <w:lang w:val="en-US" w:eastAsia="zh-CN"/>
        </w:rPr>
        <w:t>可使用</w:t>
      </w:r>
      <w:r>
        <w:rPr>
          <w:rFonts w:hint="eastAsia" w:ascii="宋体" w:hAnsi="宋体" w:eastAsia="宋体" w:cs="宋体"/>
          <w:b/>
          <w:bCs/>
          <w:color w:val="auto"/>
          <w:sz w:val="24"/>
          <w:szCs w:val="21"/>
          <w:highlight w:val="none"/>
          <w:u w:val="none"/>
          <w:lang w:val="zh-CN"/>
        </w:rPr>
        <w:t>CA</w:t>
      </w:r>
      <w:r>
        <w:rPr>
          <w:rFonts w:hint="eastAsia" w:ascii="宋体" w:hAnsi="宋体" w:eastAsia="宋体" w:cs="宋体"/>
          <w:b/>
          <w:bCs/>
          <w:color w:val="auto"/>
          <w:sz w:val="24"/>
          <w:szCs w:val="21"/>
          <w:highlight w:val="none"/>
          <w:u w:val="none"/>
          <w:lang w:val="en-US" w:eastAsia="zh-CN"/>
        </w:rPr>
        <w:t>电子签章，亦可将</w:t>
      </w:r>
      <w:r>
        <w:rPr>
          <w:rFonts w:hint="eastAsia" w:ascii="宋体" w:hAnsi="宋体" w:eastAsia="宋体" w:cs="宋体"/>
          <w:b/>
          <w:bCs/>
          <w:color w:val="auto"/>
          <w:sz w:val="24"/>
          <w:szCs w:val="21"/>
          <w:highlight w:val="none"/>
          <w:u w:val="none"/>
          <w:lang w:val="zh-CN"/>
        </w:rPr>
        <w:t>法定代表人或其委托代理人（</w:t>
      </w:r>
      <w:r>
        <w:rPr>
          <w:rFonts w:hint="eastAsia" w:ascii="宋体" w:hAnsi="宋体" w:eastAsia="宋体" w:cs="宋体"/>
          <w:b/>
          <w:bCs/>
          <w:color w:val="auto"/>
          <w:sz w:val="24"/>
          <w:szCs w:val="21"/>
          <w:highlight w:val="none"/>
          <w:u w:val="none"/>
          <w:lang w:val="en-US" w:eastAsia="zh-CN"/>
        </w:rPr>
        <w:t>签字或盖章</w:t>
      </w:r>
      <w:r>
        <w:rPr>
          <w:rFonts w:hint="eastAsia" w:ascii="宋体" w:hAnsi="宋体" w:eastAsia="宋体" w:cs="宋体"/>
          <w:b/>
          <w:bCs/>
          <w:color w:val="auto"/>
          <w:sz w:val="24"/>
          <w:szCs w:val="21"/>
          <w:highlight w:val="none"/>
          <w:u w:val="none"/>
          <w:lang w:val="zh-CN"/>
        </w:rPr>
        <w:t>）</w:t>
      </w:r>
      <w:r>
        <w:rPr>
          <w:rFonts w:hint="eastAsia" w:ascii="宋体" w:hAnsi="宋体" w:eastAsia="宋体" w:cs="宋体"/>
          <w:b/>
          <w:bCs/>
          <w:color w:val="auto"/>
          <w:sz w:val="24"/>
          <w:szCs w:val="21"/>
          <w:highlight w:val="none"/>
          <w:u w:val="none"/>
          <w:lang w:val="en-US" w:eastAsia="zh-CN"/>
        </w:rPr>
        <w:t>后的原件扫描件上传至电子投标文件内</w:t>
      </w:r>
      <w:r>
        <w:rPr>
          <w:rFonts w:hint="eastAsia" w:ascii="宋体" w:hAnsi="宋体" w:eastAsia="宋体" w:cs="宋体"/>
          <w:b/>
          <w:bCs/>
          <w:color w:val="auto"/>
          <w:sz w:val="24"/>
          <w:szCs w:val="21"/>
          <w:highlight w:val="none"/>
          <w:u w:val="none"/>
          <w:lang w:val="zh-CN"/>
        </w:rPr>
        <w:t>。</w:t>
      </w:r>
      <w:r>
        <w:rPr>
          <w:rFonts w:hint="eastAsia" w:ascii="宋体" w:hAnsi="宋体" w:eastAsia="宋体" w:cs="宋体"/>
          <w:color w:val="auto"/>
          <w:sz w:val="24"/>
          <w:szCs w:val="21"/>
          <w:highlight w:val="none"/>
        </w:rPr>
        <w:br w:type="page" w:clear="all"/>
      </w:r>
      <w:r>
        <w:rPr>
          <w:rFonts w:hint="eastAsia" w:ascii="宋体" w:hAnsi="宋体" w:eastAsia="宋体" w:cs="宋体"/>
          <w:b/>
          <w:bCs/>
          <w:color w:val="auto"/>
          <w:sz w:val="24"/>
          <w:szCs w:val="21"/>
          <w:highlight w:val="none"/>
        </w:rPr>
        <w:t>格式附件如下：</w:t>
      </w:r>
    </w:p>
    <w:p w14:paraId="427CD757">
      <w:pPr>
        <w:rPr>
          <w:rFonts w:hint="eastAsia" w:ascii="宋体" w:hAnsi="宋体" w:eastAsia="宋体" w:cs="宋体"/>
          <w:color w:val="auto"/>
          <w:highlight w:val="none"/>
        </w:rPr>
      </w:pPr>
    </w:p>
    <w:p w14:paraId="785E7005">
      <w:pPr>
        <w:keepNext/>
        <w:keepLines/>
        <w:spacing w:before="260" w:after="260" w:line="416" w:lineRule="auto"/>
        <w:jc w:val="center"/>
        <w:outlineLvl w:val="1"/>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磋商报价表</w:t>
      </w:r>
    </w:p>
    <w:p w14:paraId="09E5904C">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供应商全称（</w:t>
      </w:r>
      <w:r>
        <w:rPr>
          <w:rFonts w:hint="eastAsia" w:ascii="宋体" w:hAnsi="宋体" w:eastAsia="宋体" w:cs="宋体"/>
          <w:color w:val="auto"/>
          <w:sz w:val="24"/>
          <w:szCs w:val="24"/>
          <w:highlight w:val="none"/>
          <w:lang w:val="en-US" w:eastAsia="zh-CN"/>
        </w:rPr>
        <w:t>盖章</w:t>
      </w:r>
      <w:r>
        <w:rPr>
          <w:rFonts w:hint="eastAsia" w:ascii="宋体" w:hAnsi="宋体" w:eastAsia="宋体" w:cs="宋体"/>
          <w:color w:val="auto"/>
          <w:sz w:val="24"/>
          <w:szCs w:val="24"/>
          <w:highlight w:val="none"/>
        </w:rPr>
        <w:t>）：</w:t>
      </w:r>
    </w:p>
    <w:p w14:paraId="68A0DB40">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51766840">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p>
    <w:tbl>
      <w:tblPr>
        <w:tblStyle w:val="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16EC4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noWrap w:val="0"/>
            <w:vAlign w:val="center"/>
          </w:tcPr>
          <w:p w14:paraId="7F1980B3">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投标</w:t>
            </w:r>
            <w:r>
              <w:rPr>
                <w:rFonts w:hint="eastAsia" w:ascii="宋体" w:hAnsi="宋体" w:eastAsia="宋体" w:cs="宋体"/>
                <w:color w:val="auto"/>
                <w:sz w:val="24"/>
                <w:szCs w:val="24"/>
                <w:highlight w:val="none"/>
                <w:lang w:val="en-US" w:eastAsia="zh-CN"/>
              </w:rPr>
              <w:t>响应报价</w:t>
            </w:r>
          </w:p>
        </w:tc>
      </w:tr>
      <w:tr w14:paraId="4FC48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noWrap w:val="0"/>
            <w:vAlign w:val="center"/>
          </w:tcPr>
          <w:p w14:paraId="46D5CFF4">
            <w:pPr>
              <w:spacing w:line="500" w:lineRule="exact"/>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小写：                             （</w:t>
            </w:r>
            <w:r>
              <w:rPr>
                <w:rFonts w:hint="eastAsia" w:ascii="宋体" w:hAnsi="宋体" w:eastAsia="宋体" w:cs="宋体"/>
                <w:color w:val="auto"/>
                <w:sz w:val="24"/>
                <w:szCs w:val="24"/>
                <w:highlight w:val="none"/>
                <w:lang w:val="en-US" w:eastAsia="zh-CN"/>
              </w:rPr>
              <w:t>人民币：元</w:t>
            </w:r>
            <w:r>
              <w:rPr>
                <w:rFonts w:hint="eastAsia" w:ascii="宋体" w:hAnsi="宋体" w:eastAsia="宋体" w:cs="宋体"/>
                <w:color w:val="auto"/>
                <w:sz w:val="24"/>
                <w:szCs w:val="24"/>
                <w:highlight w:val="none"/>
              </w:rPr>
              <w:t>）</w:t>
            </w:r>
          </w:p>
        </w:tc>
      </w:tr>
    </w:tbl>
    <w:p w14:paraId="53F8323E">
      <w:pPr>
        <w:rPr>
          <w:rFonts w:hint="eastAsia" w:ascii="宋体" w:hAnsi="宋体" w:eastAsia="宋体" w:cs="宋体"/>
          <w:color w:val="auto"/>
          <w:sz w:val="24"/>
          <w:szCs w:val="24"/>
          <w:highlight w:val="none"/>
        </w:rPr>
      </w:pPr>
    </w:p>
    <w:p w14:paraId="10B449FD">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9D5A5A5">
      <w:pPr>
        <w:jc w:val="left"/>
        <w:rPr>
          <w:rFonts w:hint="eastAsia" w:ascii="宋体" w:hAnsi="宋体" w:eastAsia="宋体" w:cs="宋体"/>
          <w:color w:val="auto"/>
          <w:sz w:val="24"/>
          <w:szCs w:val="24"/>
          <w:highlight w:val="none"/>
        </w:rPr>
      </w:pPr>
    </w:p>
    <w:p w14:paraId="29B940F3">
      <w:pPr>
        <w:spacing w:line="560" w:lineRule="exact"/>
        <w:jc w:val="center"/>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32"/>
          <w:szCs w:val="32"/>
          <w:highlight w:val="none"/>
        </w:rPr>
        <w:t>法定代表人身份证明</w:t>
      </w:r>
    </w:p>
    <w:p w14:paraId="717DF6F3">
      <w:pPr>
        <w:spacing w:line="480" w:lineRule="exact"/>
        <w:rPr>
          <w:rFonts w:hint="eastAsia" w:ascii="宋体" w:hAnsi="宋体" w:eastAsia="宋体" w:cs="宋体"/>
          <w:color w:val="auto"/>
          <w:sz w:val="24"/>
          <w:highlight w:val="none"/>
        </w:rPr>
      </w:pPr>
    </w:p>
    <w:p w14:paraId="4A2E5314">
      <w:pPr>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先生/女士，身份证号码：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28A048B5">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现任我单位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职务，为法定代表人，特此证明。</w:t>
      </w:r>
    </w:p>
    <w:p w14:paraId="0D816D0D">
      <w:pPr>
        <w:spacing w:line="480" w:lineRule="exact"/>
        <w:ind w:firstLine="480"/>
        <w:rPr>
          <w:rFonts w:hint="eastAsia" w:ascii="宋体" w:hAnsi="宋体" w:eastAsia="宋体" w:cs="宋体"/>
          <w:color w:val="auto"/>
          <w:sz w:val="24"/>
          <w:szCs w:val="24"/>
          <w:highlight w:val="none"/>
        </w:rPr>
      </w:pPr>
    </w:p>
    <w:p w14:paraId="513DB8EF">
      <w:pPr>
        <w:spacing w:after="120"/>
        <w:rPr>
          <w:rFonts w:hint="eastAsia" w:ascii="宋体" w:hAnsi="宋体" w:eastAsia="宋体" w:cs="宋体"/>
          <w:color w:val="auto"/>
          <w:sz w:val="24"/>
          <w:szCs w:val="24"/>
          <w:highlight w:val="none"/>
        </w:rPr>
      </w:pPr>
    </w:p>
    <w:p w14:paraId="4F3C1F77">
      <w:pPr>
        <w:adjustRightInd w:val="0"/>
        <w:spacing w:line="480" w:lineRule="auto"/>
        <w:ind w:left="3255" w:leftChars="155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640D48F0">
      <w:pPr>
        <w:adjustRightInd w:val="0"/>
        <w:spacing w:line="480" w:lineRule="auto"/>
        <w:ind w:firstLine="3840" w:firstLineChars="1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     年   月   日</w:t>
      </w:r>
    </w:p>
    <w:p w14:paraId="63AB95A4">
      <w:pPr>
        <w:rPr>
          <w:rFonts w:hint="eastAsia" w:ascii="宋体" w:hAnsi="宋体" w:eastAsia="宋体" w:cs="宋体"/>
          <w:color w:val="auto"/>
          <w:highlight w:val="none"/>
        </w:rPr>
      </w:pPr>
    </w:p>
    <w:p w14:paraId="78873882">
      <w:pPr>
        <w:widowControl/>
        <w:spacing w:line="360" w:lineRule="auto"/>
        <w:rPr>
          <w:rFonts w:hint="eastAsia" w:ascii="宋体" w:hAnsi="宋体" w:eastAsia="宋体" w:cs="宋体"/>
          <w:b/>
          <w:bCs/>
          <w:color w:val="auto"/>
          <w:kern w:val="0"/>
          <w:sz w:val="28"/>
          <w:szCs w:val="28"/>
          <w:highlight w:val="none"/>
          <w:lang w:eastAsia="zh-CN"/>
        </w:rPr>
      </w:pPr>
      <w:r>
        <w:rPr>
          <w:rFonts w:hint="eastAsia" w:ascii="宋体" w:hAnsi="宋体" w:eastAsia="宋体" w:cs="宋体"/>
          <w:b/>
          <w:color w:val="auto"/>
          <w:sz w:val="24"/>
          <w:highlight w:val="none"/>
        </w:rPr>
        <w:t>附：法定代表人的身份证复印件</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lang w:val="en-US" w:eastAsia="zh-CN"/>
        </w:rPr>
        <w:t>或扫描件</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lang w:val="en-US" w:eastAsia="zh-CN"/>
        </w:rPr>
        <w:t>加</w:t>
      </w:r>
      <w:r>
        <w:rPr>
          <w:rFonts w:hint="eastAsia" w:ascii="宋体" w:hAnsi="宋体" w:eastAsia="宋体" w:cs="宋体"/>
          <w:b/>
          <w:color w:val="auto"/>
          <w:sz w:val="24"/>
          <w:highlight w:val="none"/>
        </w:rPr>
        <w:t>盖</w:t>
      </w:r>
      <w:r>
        <w:rPr>
          <w:rFonts w:hint="eastAsia" w:ascii="宋体" w:hAnsi="宋体" w:eastAsia="宋体" w:cs="宋体"/>
          <w:b/>
          <w:color w:val="auto"/>
          <w:sz w:val="24"/>
          <w:highlight w:val="none"/>
          <w:lang w:val="en-US" w:eastAsia="zh-CN"/>
        </w:rPr>
        <w:t>供应商</w:t>
      </w:r>
      <w:r>
        <w:rPr>
          <w:rFonts w:hint="eastAsia" w:ascii="宋体" w:hAnsi="宋体" w:eastAsia="宋体" w:cs="宋体"/>
          <w:b/>
          <w:color w:val="auto"/>
          <w:sz w:val="24"/>
          <w:highlight w:val="none"/>
        </w:rPr>
        <w:t>公章</w:t>
      </w:r>
      <w:r>
        <w:rPr>
          <w:rFonts w:hint="eastAsia" w:ascii="宋体" w:hAnsi="宋体" w:eastAsia="宋体" w:cs="宋体"/>
          <w:b/>
          <w:color w:val="auto"/>
          <w:sz w:val="24"/>
          <w:highlight w:val="none"/>
          <w:lang w:eastAsia="zh-CN"/>
        </w:rPr>
        <w:t>。</w:t>
      </w:r>
    </w:p>
    <w:p w14:paraId="77E984DA">
      <w:pP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br w:type="page"/>
      </w:r>
    </w:p>
    <w:p w14:paraId="5FF5D069">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法定代表人授权委托书</w:t>
      </w:r>
    </w:p>
    <w:p w14:paraId="431FEB4A">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32"/>
          <w:szCs w:val="32"/>
          <w:highlight w:val="none"/>
        </w:rPr>
      </w:pPr>
    </w:p>
    <w:p w14:paraId="6BA63625">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（授权单位名称）的法定代表人，现委托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（姓名）（身份证号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）为我方代理人，以我方名义全权处理与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）有关的一切事务，其法律后果由我方承担。</w:t>
      </w:r>
    </w:p>
    <w:p w14:paraId="2A17BB9B">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日起生效。代理人无转委托权。</w:t>
      </w:r>
    </w:p>
    <w:p w14:paraId="3EAB60C2">
      <w:pPr>
        <w:keepNext w:val="0"/>
        <w:keepLines w:val="0"/>
        <w:pageBreakBefore w:val="0"/>
        <w:widowControl w:val="0"/>
        <w:kinsoku/>
        <w:wordWrap/>
        <w:overflowPunct/>
        <w:topLinePunct w:val="0"/>
        <w:autoSpaceDE/>
        <w:autoSpaceDN/>
        <w:bidi w:val="0"/>
        <w:adjustRightInd/>
        <w:spacing w:line="360" w:lineRule="auto"/>
        <w:ind w:firstLine="360" w:firstLineChars="15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代理人(被授权人)联系电话</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p>
    <w:p w14:paraId="7EC9FF27">
      <w:pPr>
        <w:keepNext w:val="0"/>
        <w:keepLines w:val="0"/>
        <w:pageBreakBefore w:val="0"/>
        <w:widowControl w:val="0"/>
        <w:kinsoku/>
        <w:wordWrap/>
        <w:overflowPunct/>
        <w:topLinePunct w:val="0"/>
        <w:autoSpaceDE/>
        <w:autoSpaceDN/>
        <w:bidi w:val="0"/>
        <w:adjustRightInd/>
        <w:spacing w:line="360" w:lineRule="auto"/>
        <w:ind w:firstLine="360" w:firstLineChars="1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授权单位名称（盖章）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p>
    <w:p w14:paraId="3E6C9AD2">
      <w:pPr>
        <w:keepNext w:val="0"/>
        <w:keepLines w:val="0"/>
        <w:pageBreakBefore w:val="0"/>
        <w:widowControl w:val="0"/>
        <w:kinsoku/>
        <w:wordWrap/>
        <w:overflowPunct/>
        <w:topLinePunct w:val="0"/>
        <w:autoSpaceDE/>
        <w:autoSpaceDN/>
        <w:bidi w:val="0"/>
        <w:adjustRightInd/>
        <w:spacing w:line="360" w:lineRule="auto"/>
        <w:ind w:firstLine="360" w:firstLineChars="1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授权单位法定代表人（签字或盖章）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p>
    <w:p w14:paraId="5EF3307A">
      <w:pPr>
        <w:keepNext w:val="0"/>
        <w:keepLines w:val="0"/>
        <w:pageBreakBefore w:val="0"/>
        <w:widowControl w:val="0"/>
        <w:kinsoku/>
        <w:wordWrap/>
        <w:overflowPunct/>
        <w:topLinePunct w:val="0"/>
        <w:autoSpaceDE/>
        <w:autoSpaceDN/>
        <w:bidi w:val="0"/>
        <w:adjustRightInd/>
        <w:spacing w:line="360" w:lineRule="auto"/>
        <w:jc w:val="right"/>
        <w:textAlignment w:val="auto"/>
        <w:rPr>
          <w:rFonts w:hint="eastAsia" w:ascii="宋体" w:hAnsi="宋体" w:eastAsia="宋体" w:cs="宋体"/>
          <w:color w:val="auto"/>
          <w:sz w:val="24"/>
          <w:szCs w:val="24"/>
          <w:highlight w:val="none"/>
        </w:rPr>
      </w:pPr>
    </w:p>
    <w:p w14:paraId="5037C900">
      <w:pPr>
        <w:keepNext w:val="0"/>
        <w:keepLines w:val="0"/>
        <w:pageBreakBefore w:val="0"/>
        <w:widowControl w:val="0"/>
        <w:kinsoku/>
        <w:wordWrap/>
        <w:overflowPunct/>
        <w:topLinePunct w:val="0"/>
        <w:autoSpaceDE/>
        <w:autoSpaceDN/>
        <w:bidi w:val="0"/>
        <w:adjustRightIn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___</w:t>
      </w:r>
      <w:r>
        <w:rPr>
          <w:rFonts w:hint="eastAsia" w:ascii="宋体" w:hAnsi="宋体" w:eastAsia="宋体" w:cs="宋体"/>
          <w:color w:val="auto"/>
          <w:sz w:val="24"/>
          <w:szCs w:val="24"/>
          <w:highlight w:val="none"/>
          <w:u w:val="single"/>
        </w:rPr>
        <w:t>__</w:t>
      </w:r>
      <w:r>
        <w:rPr>
          <w:rFonts w:hint="eastAsia" w:ascii="宋体" w:hAnsi="宋体" w:eastAsia="宋体" w:cs="宋体"/>
          <w:color w:val="auto"/>
          <w:sz w:val="24"/>
          <w:szCs w:val="24"/>
          <w:highlight w:val="none"/>
        </w:rPr>
        <w:t>年__</w:t>
      </w:r>
      <w:r>
        <w:rPr>
          <w:rFonts w:hint="eastAsia" w:ascii="宋体" w:hAnsi="宋体" w:eastAsia="宋体" w:cs="宋体"/>
          <w:color w:val="auto"/>
          <w:sz w:val="24"/>
          <w:szCs w:val="24"/>
          <w:highlight w:val="none"/>
          <w:u w:val="single"/>
        </w:rPr>
        <w:t>__</w:t>
      </w:r>
      <w:r>
        <w:rPr>
          <w:rFonts w:hint="eastAsia" w:ascii="宋体" w:hAnsi="宋体" w:eastAsia="宋体" w:cs="宋体"/>
          <w:color w:val="auto"/>
          <w:sz w:val="24"/>
          <w:szCs w:val="24"/>
          <w:highlight w:val="none"/>
        </w:rPr>
        <w:t>月__</w:t>
      </w:r>
      <w:r>
        <w:rPr>
          <w:rFonts w:hint="eastAsia" w:ascii="宋体" w:hAnsi="宋体" w:eastAsia="宋体" w:cs="宋体"/>
          <w:color w:val="auto"/>
          <w:sz w:val="24"/>
          <w:szCs w:val="24"/>
          <w:highlight w:val="none"/>
          <w:u w:val="single"/>
        </w:rPr>
        <w:t>__</w:t>
      </w:r>
      <w:r>
        <w:rPr>
          <w:rFonts w:hint="eastAsia" w:ascii="宋体" w:hAnsi="宋体" w:eastAsia="宋体" w:cs="宋体"/>
          <w:color w:val="auto"/>
          <w:sz w:val="24"/>
          <w:szCs w:val="24"/>
          <w:highlight w:val="none"/>
        </w:rPr>
        <w:t>日</w:t>
      </w:r>
    </w:p>
    <w:p w14:paraId="6A1FF058">
      <w:pPr>
        <w:keepNext w:val="0"/>
        <w:keepLines w:val="0"/>
        <w:pageBreakBefore w:val="0"/>
        <w:widowControl w:val="0"/>
        <w:kinsoku/>
        <w:wordWrap/>
        <w:overflowPunct/>
        <w:topLinePunct w:val="0"/>
        <w:autoSpaceDE/>
        <w:autoSpaceDN/>
        <w:bidi w:val="0"/>
        <w:adjustRightInd/>
        <w:snapToGrid w:val="0"/>
        <w:spacing w:line="360" w:lineRule="auto"/>
        <w:ind w:firstLine="463" w:firstLineChars="192"/>
        <w:contextualSpacing/>
        <w:textAlignment w:val="auto"/>
        <w:rPr>
          <w:rFonts w:hint="eastAsia" w:ascii="宋体" w:hAnsi="宋体" w:eastAsia="宋体" w:cs="宋体"/>
          <w:b/>
          <w:color w:val="auto"/>
          <w:kern w:val="0"/>
          <w:sz w:val="24"/>
          <w:szCs w:val="24"/>
          <w:highlight w:val="none"/>
        </w:rPr>
      </w:pPr>
    </w:p>
    <w:p w14:paraId="4C7EE9EC">
      <w:pPr>
        <w:keepNext w:val="0"/>
        <w:keepLines w:val="0"/>
        <w:pageBreakBefore w:val="0"/>
        <w:widowControl w:val="0"/>
        <w:kinsoku/>
        <w:wordWrap/>
        <w:overflowPunct/>
        <w:topLinePunct w:val="0"/>
        <w:autoSpaceDE/>
        <w:autoSpaceDN/>
        <w:bidi w:val="0"/>
        <w:adjustRightInd/>
        <w:snapToGrid w:val="0"/>
        <w:spacing w:line="360" w:lineRule="auto"/>
        <w:ind w:firstLine="463" w:firstLineChars="192"/>
        <w:contextualSpacing/>
        <w:textAlignment w:val="auto"/>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rPr>
        <w:t>附：代理人(被授权人)身份证复印件</w:t>
      </w:r>
      <w:r>
        <w:rPr>
          <w:rFonts w:hint="eastAsia" w:ascii="宋体" w:hAnsi="宋体" w:eastAsia="宋体" w:cs="宋体"/>
          <w:b/>
          <w:color w:val="auto"/>
          <w:kern w:val="0"/>
          <w:sz w:val="24"/>
          <w:szCs w:val="24"/>
          <w:highlight w:val="none"/>
          <w:lang w:eastAsia="zh-CN"/>
        </w:rPr>
        <w:t>（</w:t>
      </w:r>
      <w:r>
        <w:rPr>
          <w:rFonts w:hint="eastAsia" w:ascii="宋体" w:hAnsi="宋体" w:eastAsia="宋体" w:cs="宋体"/>
          <w:b/>
          <w:color w:val="auto"/>
          <w:kern w:val="0"/>
          <w:sz w:val="24"/>
          <w:szCs w:val="24"/>
          <w:highlight w:val="none"/>
          <w:lang w:val="en-US" w:eastAsia="zh-CN"/>
        </w:rPr>
        <w:t>或扫描件</w:t>
      </w:r>
      <w:r>
        <w:rPr>
          <w:rFonts w:hint="eastAsia" w:ascii="宋体" w:hAnsi="宋体" w:eastAsia="宋体" w:cs="宋体"/>
          <w:b/>
          <w:color w:val="auto"/>
          <w:kern w:val="0"/>
          <w:sz w:val="24"/>
          <w:szCs w:val="24"/>
          <w:highlight w:val="none"/>
          <w:lang w:eastAsia="zh-CN"/>
        </w:rPr>
        <w:t>）</w:t>
      </w:r>
      <w:r>
        <w:rPr>
          <w:rFonts w:hint="eastAsia" w:ascii="宋体" w:hAnsi="宋体" w:eastAsia="宋体" w:cs="宋体"/>
          <w:b/>
          <w:color w:val="auto"/>
          <w:kern w:val="0"/>
          <w:sz w:val="24"/>
          <w:szCs w:val="24"/>
          <w:highlight w:val="none"/>
          <w:lang w:val="en-US" w:eastAsia="zh-CN"/>
        </w:rPr>
        <w:t>加</w:t>
      </w:r>
      <w:r>
        <w:rPr>
          <w:rFonts w:hint="eastAsia" w:ascii="宋体" w:hAnsi="宋体" w:eastAsia="宋体" w:cs="宋体"/>
          <w:b/>
          <w:color w:val="auto"/>
          <w:kern w:val="0"/>
          <w:sz w:val="24"/>
          <w:szCs w:val="24"/>
          <w:highlight w:val="none"/>
        </w:rPr>
        <w:t>盖</w:t>
      </w:r>
      <w:r>
        <w:rPr>
          <w:rFonts w:hint="eastAsia" w:ascii="宋体" w:hAnsi="宋体" w:eastAsia="宋体" w:cs="宋体"/>
          <w:b/>
          <w:color w:val="auto"/>
          <w:kern w:val="0"/>
          <w:sz w:val="24"/>
          <w:szCs w:val="24"/>
          <w:highlight w:val="none"/>
          <w:lang w:val="en-US" w:eastAsia="zh-CN"/>
        </w:rPr>
        <w:t>供应商</w:t>
      </w:r>
      <w:r>
        <w:rPr>
          <w:rFonts w:hint="eastAsia" w:ascii="宋体" w:hAnsi="宋体" w:eastAsia="宋体" w:cs="宋体"/>
          <w:b/>
          <w:color w:val="auto"/>
          <w:kern w:val="0"/>
          <w:sz w:val="24"/>
          <w:szCs w:val="24"/>
          <w:highlight w:val="none"/>
        </w:rPr>
        <w:t>公章</w:t>
      </w:r>
      <w:r>
        <w:rPr>
          <w:rFonts w:hint="eastAsia" w:ascii="宋体" w:hAnsi="宋体" w:eastAsia="宋体" w:cs="宋体"/>
          <w:b/>
          <w:color w:val="auto"/>
          <w:kern w:val="0"/>
          <w:sz w:val="24"/>
          <w:szCs w:val="24"/>
          <w:highlight w:val="none"/>
          <w:lang w:eastAsia="zh-CN"/>
        </w:rPr>
        <w:t>。</w:t>
      </w:r>
    </w:p>
    <w:p w14:paraId="26FB1264">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02B61AFA">
      <w:pPr>
        <w:spacing w:line="360" w:lineRule="auto"/>
        <w:ind w:firstLine="463"/>
        <w:rPr>
          <w:rFonts w:hint="eastAsia" w:ascii="宋体" w:hAnsi="宋体" w:eastAsia="宋体" w:cs="宋体"/>
          <w:b/>
          <w:color w:val="auto"/>
          <w:sz w:val="24"/>
          <w:szCs w:val="24"/>
          <w:highlight w:val="none"/>
        </w:rPr>
      </w:pPr>
    </w:p>
    <w:p w14:paraId="0B80374D">
      <w:pPr>
        <w:ind w:firstLine="480"/>
        <w:jc w:val="center"/>
        <w:rPr>
          <w:rFonts w:hint="eastAsia" w:ascii="宋体" w:hAnsi="宋体" w:eastAsia="宋体" w:cs="宋体"/>
          <w:b/>
          <w:color w:val="auto"/>
          <w:sz w:val="30"/>
          <w:szCs w:val="30"/>
          <w:highlight w:val="none"/>
        </w:rPr>
      </w:pPr>
      <w:r>
        <w:rPr>
          <w:rFonts w:hint="eastAsia" w:ascii="宋体" w:hAnsi="宋体" w:eastAsia="宋体" w:cs="宋体"/>
          <w:color w:val="auto"/>
          <w:sz w:val="24"/>
          <w:szCs w:val="21"/>
          <w:highlight w:val="none"/>
        </w:rPr>
        <w:br w:type="page" w:clear="all"/>
      </w:r>
      <w:r>
        <w:rPr>
          <w:rFonts w:hint="eastAsia" w:ascii="宋体" w:hAnsi="宋体" w:eastAsia="宋体" w:cs="宋体"/>
          <w:b/>
          <w:color w:val="auto"/>
          <w:sz w:val="30"/>
          <w:szCs w:val="30"/>
          <w:highlight w:val="none"/>
        </w:rPr>
        <w:t>供应商符合《中华人民共和国政府采购法》第二十二条规定条件的声明函</w:t>
      </w:r>
    </w:p>
    <w:p w14:paraId="4F638D71">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24"/>
          <w:szCs w:val="21"/>
          <w:highlight w:val="none"/>
        </w:rPr>
        <w:t xml:space="preserve">                       </w:t>
      </w:r>
      <w:r>
        <w:rPr>
          <w:rFonts w:hint="eastAsia" w:ascii="宋体" w:hAnsi="宋体" w:eastAsia="宋体" w:cs="宋体"/>
          <w:b/>
          <w:bCs/>
          <w:color w:val="auto"/>
          <w:sz w:val="44"/>
          <w:szCs w:val="44"/>
          <w:highlight w:val="none"/>
        </w:rPr>
        <w:t xml:space="preserve">   </w:t>
      </w:r>
    </w:p>
    <w:p w14:paraId="5F150C57">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我单位参加</w:t>
      </w:r>
      <w:r>
        <w:rPr>
          <w:rFonts w:hint="eastAsia" w:ascii="宋体" w:hAnsi="宋体" w:eastAsia="宋体" w:cs="宋体"/>
          <w:bCs/>
          <w:color w:val="auto"/>
          <w:sz w:val="24"/>
          <w:szCs w:val="21"/>
          <w:highlight w:val="none"/>
        </w:rPr>
        <w:t>________________（项目名称），</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（项目编号）投标活动。针对《中华人民共和国政府采购法》第二十二条规定做出如下声明：</w:t>
      </w:r>
    </w:p>
    <w:p w14:paraId="4F27CD85">
      <w:pPr>
        <w:spacing w:line="360" w:lineRule="auto"/>
        <w:ind w:firstLine="482"/>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1.我单位具有独立承担民事责任的能力；</w:t>
      </w:r>
    </w:p>
    <w:p w14:paraId="254FD371">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2.我单位具有良好的商业信誉和健全的财务会计制度；</w:t>
      </w:r>
    </w:p>
    <w:p w14:paraId="3FB42B59">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3.我单位具有履行合同所必需的设备和专业技术能力；</w:t>
      </w:r>
    </w:p>
    <w:p w14:paraId="5190DDA8">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4.我单位有依法缴纳税收和社会保障资金的良好记录；</w:t>
      </w:r>
    </w:p>
    <w:p w14:paraId="7A5E6961">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B29C740">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6.我单位满足法律、行政法规规定的其他条件。</w:t>
      </w:r>
    </w:p>
    <w:p w14:paraId="7283D3FD">
      <w:pPr>
        <w:spacing w:line="360" w:lineRule="auto"/>
        <w:rPr>
          <w:rFonts w:hint="eastAsia" w:ascii="宋体" w:hAnsi="宋体" w:eastAsia="宋体" w:cs="宋体"/>
          <w:bCs/>
          <w:color w:val="auto"/>
          <w:sz w:val="24"/>
          <w:szCs w:val="21"/>
          <w:highlight w:val="none"/>
        </w:rPr>
      </w:pPr>
    </w:p>
    <w:p w14:paraId="64AE18FB">
      <w:pPr>
        <w:spacing w:line="360" w:lineRule="auto"/>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承诺人（</w:t>
      </w:r>
      <w:r>
        <w:rPr>
          <w:rFonts w:hint="eastAsia" w:ascii="宋体" w:hAnsi="宋体" w:eastAsia="宋体" w:cs="宋体"/>
          <w:bCs/>
          <w:color w:val="auto"/>
          <w:sz w:val="24"/>
          <w:szCs w:val="21"/>
          <w:highlight w:val="none"/>
          <w:lang w:val="en-US" w:eastAsia="zh-CN"/>
        </w:rPr>
        <w:t>盖章</w:t>
      </w:r>
      <w:r>
        <w:rPr>
          <w:rFonts w:hint="eastAsia" w:ascii="宋体" w:hAnsi="宋体" w:eastAsia="宋体" w:cs="宋体"/>
          <w:bCs/>
          <w:color w:val="auto"/>
          <w:sz w:val="24"/>
          <w:szCs w:val="21"/>
          <w:highlight w:val="none"/>
        </w:rPr>
        <w:t>）：</w:t>
      </w:r>
    </w:p>
    <w:p w14:paraId="2D004D5B">
      <w:pPr>
        <w:spacing w:line="360" w:lineRule="auto"/>
        <w:jc w:val="righ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p>
    <w:p w14:paraId="7267D1E7">
      <w:pPr>
        <w:spacing w:line="360" w:lineRule="auto"/>
        <w:jc w:val="righ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日期：</w:t>
      </w:r>
      <w:r>
        <w:rPr>
          <w:rFonts w:hint="eastAsia" w:ascii="宋体" w:hAnsi="宋体" w:eastAsia="宋体" w:cs="宋体"/>
          <w:bCs/>
          <w:color w:val="auto"/>
          <w:sz w:val="24"/>
          <w:szCs w:val="21"/>
          <w:highlight w:val="none"/>
          <w:u w:val="single"/>
        </w:rPr>
        <w:t>______</w:t>
      </w:r>
      <w:r>
        <w:rPr>
          <w:rFonts w:hint="eastAsia" w:ascii="宋体" w:hAnsi="宋体" w:eastAsia="宋体" w:cs="宋体"/>
          <w:bCs/>
          <w:color w:val="auto"/>
          <w:sz w:val="24"/>
          <w:szCs w:val="21"/>
          <w:highlight w:val="none"/>
        </w:rPr>
        <w:t>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日</w:t>
      </w:r>
    </w:p>
    <w:p w14:paraId="12EEF06F">
      <w:pPr>
        <w:spacing w:line="360" w:lineRule="auto"/>
        <w:ind w:firstLine="540"/>
        <w:contextualSpacing/>
        <w:rPr>
          <w:rFonts w:hint="eastAsia" w:ascii="宋体" w:hAnsi="宋体" w:eastAsia="宋体" w:cs="宋体"/>
          <w:b/>
          <w:color w:val="auto"/>
          <w:sz w:val="28"/>
          <w:szCs w:val="28"/>
          <w:highlight w:val="none"/>
        </w:rPr>
      </w:pPr>
    </w:p>
    <w:p w14:paraId="2B3EF63F">
      <w:pPr>
        <w:spacing w:before="240" w:line="312" w:lineRule="auto"/>
        <w:jc w:val="center"/>
        <w:rPr>
          <w:rFonts w:hint="eastAsia" w:ascii="宋体" w:hAnsi="宋体" w:eastAsia="宋体" w:cs="宋体"/>
          <w:b/>
          <w:color w:val="auto"/>
          <w:sz w:val="32"/>
          <w:szCs w:val="32"/>
          <w:highlight w:val="none"/>
          <w:lang w:bidi="ar"/>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2"/>
          <w:szCs w:val="32"/>
          <w:highlight w:val="none"/>
          <w:lang w:bidi="ar"/>
        </w:rPr>
        <w:t>供应商信用承诺书</w:t>
      </w:r>
    </w:p>
    <w:p w14:paraId="5395FEE2">
      <w:pPr>
        <w:spacing w:line="360" w:lineRule="auto"/>
        <w:ind w:firstLine="480" w:firstLineChars="2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bidi="ar"/>
        </w:rPr>
        <w:t>为营造公开、公平、公正的公共资源交易环境，树立诚信守法的投标（响应）人形象，本人代表本单位作出以下承诺：</w:t>
      </w:r>
    </w:p>
    <w:p w14:paraId="0EC7944E">
      <w:pPr>
        <w:spacing w:line="360" w:lineRule="auto"/>
        <w:ind w:firstLine="480" w:firstLineChars="2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5DBB9493">
      <w:pPr>
        <w:spacing w:line="360" w:lineRule="auto"/>
        <w:ind w:firstLine="480" w:firstLineChars="2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bidi="ar"/>
        </w:rPr>
        <w:t>二、严格依照国家和省、市、县关于招标投标等方面的</w:t>
      </w:r>
      <w:r>
        <w:rPr>
          <w:rFonts w:hint="eastAsia" w:ascii="宋体" w:hAnsi="宋体" w:cs="宋体"/>
          <w:color w:val="auto"/>
          <w:kern w:val="0"/>
          <w:sz w:val="24"/>
          <w:highlight w:val="none"/>
          <w:lang w:val="zh-CN" w:bidi="ar"/>
        </w:rPr>
        <w:t>法律法规</w:t>
      </w:r>
      <w:r>
        <w:rPr>
          <w:rFonts w:hint="eastAsia" w:ascii="宋体" w:hAnsi="宋体" w:eastAsia="宋体" w:cs="宋体"/>
          <w:color w:val="auto"/>
          <w:kern w:val="0"/>
          <w:sz w:val="24"/>
          <w:highlight w:val="none"/>
          <w:lang w:val="zh-CN" w:bidi="ar"/>
        </w:rPr>
        <w:t>、规章、规范性文件，参加公共资源交易招标投标活动；积极履行社会责任，促进廉政建设；</w:t>
      </w:r>
    </w:p>
    <w:p w14:paraId="24347673">
      <w:pPr>
        <w:spacing w:line="360" w:lineRule="auto"/>
        <w:ind w:firstLine="480" w:firstLineChars="2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bidi="ar"/>
        </w:rPr>
        <w:t>三、严格遵守即时信息公示规定，及时更新公共资源交易中心主体信息库中信息；</w:t>
      </w:r>
    </w:p>
    <w:p w14:paraId="1CEBB0DE">
      <w:pPr>
        <w:spacing w:line="360" w:lineRule="auto"/>
        <w:ind w:firstLine="480" w:firstLineChars="2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bidi="ar"/>
        </w:rPr>
        <w:t>四、自我约束、自我管理，守合同、重信用，不参与围标串标、弄虚作假、骗取中标、干扰评标、违约毁约、恶意投诉等行为，主动维护公共资源交易招标投标的良好秩序；</w:t>
      </w:r>
    </w:p>
    <w:p w14:paraId="1CF366A5">
      <w:pPr>
        <w:spacing w:line="360" w:lineRule="auto"/>
        <w:ind w:firstLine="480" w:firstLineChars="2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3C9AB2CD">
      <w:pPr>
        <w:spacing w:line="360" w:lineRule="auto"/>
        <w:ind w:firstLine="480" w:firstLineChars="2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bidi="ar"/>
        </w:rPr>
        <w:t>六、自觉接受政府部门、行业组织、社会公众、新闻舆论等监督；</w:t>
      </w:r>
    </w:p>
    <w:p w14:paraId="081A8A4C">
      <w:pPr>
        <w:spacing w:line="360" w:lineRule="auto"/>
        <w:ind w:firstLine="480" w:firstLineChars="2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bidi="ar"/>
        </w:rPr>
        <w:t>七、上述承诺已向本单位员工作了宣传教育；</w:t>
      </w:r>
    </w:p>
    <w:p w14:paraId="03714213">
      <w:pPr>
        <w:spacing w:line="360" w:lineRule="auto"/>
        <w:ind w:firstLine="482" w:firstLineChars="200"/>
        <w:rPr>
          <w:rFonts w:hint="eastAsia" w:ascii="宋体" w:hAnsi="宋体" w:eastAsia="宋体" w:cs="宋体"/>
          <w:b/>
          <w:color w:val="auto"/>
          <w:kern w:val="0"/>
          <w:sz w:val="24"/>
          <w:highlight w:val="none"/>
          <w:lang w:val="zh-CN"/>
        </w:rPr>
      </w:pPr>
      <w:r>
        <w:rPr>
          <w:rFonts w:hint="eastAsia" w:ascii="宋体" w:hAnsi="宋体" w:eastAsia="宋体" w:cs="宋体"/>
          <w:b/>
          <w:color w:val="auto"/>
          <w:kern w:val="0"/>
          <w:sz w:val="24"/>
          <w:highlight w:val="none"/>
          <w:lang w:val="zh-CN" w:bidi="ar"/>
        </w:rPr>
        <w:t>如有违反上述承诺的不良行为，本单位同意将其予以上网公示。</w:t>
      </w:r>
    </w:p>
    <w:p w14:paraId="3FA703A2">
      <w:pPr>
        <w:spacing w:line="360" w:lineRule="auto"/>
        <w:rPr>
          <w:rFonts w:hint="eastAsia" w:ascii="宋体" w:hAnsi="宋体" w:eastAsia="宋体" w:cs="宋体"/>
          <w:color w:val="auto"/>
          <w:kern w:val="0"/>
          <w:sz w:val="24"/>
          <w:highlight w:val="none"/>
          <w:lang w:val="zh-CN"/>
        </w:rPr>
      </w:pPr>
    </w:p>
    <w:p w14:paraId="6A5DC05E">
      <w:pPr>
        <w:spacing w:line="360" w:lineRule="auto"/>
        <w:ind w:firstLine="4560" w:firstLineChars="1900"/>
        <w:rPr>
          <w:rFonts w:hint="eastAsia" w:ascii="宋体" w:hAnsi="宋体" w:eastAsia="宋体" w:cs="宋体"/>
          <w:color w:val="auto"/>
          <w:kern w:val="0"/>
          <w:sz w:val="24"/>
          <w:highlight w:val="none"/>
          <w:lang w:val="zh-CN"/>
        </w:rPr>
      </w:pPr>
    </w:p>
    <w:p w14:paraId="6AF37EDA">
      <w:pPr>
        <w:spacing w:line="360" w:lineRule="auto"/>
        <w:ind w:firstLine="4080" w:firstLineChars="1700"/>
        <w:rPr>
          <w:rFonts w:hint="eastAsia" w:ascii="宋体" w:hAnsi="宋体" w:eastAsia="宋体" w:cs="宋体"/>
          <w:color w:val="auto"/>
          <w:kern w:val="0"/>
          <w:sz w:val="24"/>
          <w:highlight w:val="none"/>
          <w:lang w:val="zh-CN" w:bidi="ar"/>
        </w:rPr>
      </w:pPr>
      <w:r>
        <w:rPr>
          <w:rFonts w:hint="eastAsia" w:ascii="宋体" w:hAnsi="宋体" w:eastAsia="宋体" w:cs="宋体"/>
          <w:color w:val="auto"/>
          <w:kern w:val="0"/>
          <w:sz w:val="24"/>
          <w:highlight w:val="none"/>
          <w:lang w:val="zh-CN" w:bidi="ar"/>
        </w:rPr>
        <w:t>供应商全称(盖章)：</w:t>
      </w:r>
    </w:p>
    <w:p w14:paraId="76CCC957">
      <w:pPr>
        <w:spacing w:line="360" w:lineRule="auto"/>
        <w:ind w:firstLine="4080" w:firstLineChars="1700"/>
        <w:rPr>
          <w:rFonts w:hint="eastAsia" w:ascii="宋体" w:hAnsi="宋体" w:eastAsia="宋体" w:cs="宋体"/>
          <w:color w:val="auto"/>
          <w:kern w:val="0"/>
          <w:sz w:val="24"/>
          <w:highlight w:val="none"/>
          <w:lang w:val="zh-CN" w:bidi="ar"/>
        </w:rPr>
      </w:pPr>
      <w:r>
        <w:rPr>
          <w:rFonts w:hint="eastAsia" w:ascii="宋体" w:hAnsi="宋体" w:eastAsia="宋体" w:cs="宋体"/>
          <w:color w:val="auto"/>
          <w:kern w:val="0"/>
          <w:sz w:val="24"/>
          <w:highlight w:val="none"/>
          <w:lang w:val="zh-CN" w:bidi="ar"/>
        </w:rPr>
        <w:t>法定代表人（签字或盖章）：</w:t>
      </w:r>
    </w:p>
    <w:p w14:paraId="276F0FE2">
      <w:pPr>
        <w:spacing w:line="360" w:lineRule="auto"/>
        <w:ind w:firstLine="4080" w:firstLineChars="1700"/>
        <w:rPr>
          <w:rFonts w:hint="eastAsia" w:ascii="宋体" w:hAnsi="宋体" w:eastAsia="宋体" w:cs="宋体"/>
          <w:color w:val="auto"/>
          <w:kern w:val="0"/>
          <w:sz w:val="24"/>
          <w:highlight w:val="none"/>
          <w:lang w:val="zh-CN" w:bidi="ar"/>
        </w:rPr>
      </w:pPr>
      <w:r>
        <w:rPr>
          <w:rFonts w:hint="eastAsia" w:ascii="宋体" w:hAnsi="宋体" w:eastAsia="宋体" w:cs="宋体"/>
          <w:color w:val="auto"/>
          <w:kern w:val="0"/>
          <w:sz w:val="24"/>
          <w:highlight w:val="none"/>
          <w:lang w:val="zh-CN" w:bidi="ar"/>
        </w:rPr>
        <w:t>时间：  年  月   日</w:t>
      </w:r>
    </w:p>
    <w:p w14:paraId="4D36E557">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p>
    <w:p w14:paraId="3BC0CBF4">
      <w:pPr>
        <w:adjustRightInd w:val="0"/>
        <w:snapToGrid w:val="0"/>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中小企业声明函（工程、服务）</w:t>
      </w:r>
    </w:p>
    <w:p w14:paraId="409E1A23">
      <w:pPr>
        <w:adjustRightInd w:val="0"/>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本公司（联合体）郑重声明，根据《政府采购促进中小企业发展管理办法》（财库﹝2020﹞46 号）的规定，本公司 （联合体）参加</w:t>
      </w:r>
      <w:r>
        <w:rPr>
          <w:rFonts w:hint="eastAsia" w:ascii="宋体" w:hAnsi="宋体" w:eastAsia="宋体" w:cs="宋体"/>
          <w:color w:val="auto"/>
          <w:sz w:val="24"/>
          <w:highlight w:val="none"/>
          <w:u w:val="single"/>
        </w:rPr>
        <w:t>（单位名称）</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rPr>
        <w:t>采购活动，工程的施工单位全部为符合政策要求的中小企业（或者：服务部由符合政策要求的中小企业承接）。相关企业（含联合体中的中小企业、签订分包意向协议的中小企业）的具体情 况如下：</w:t>
      </w:r>
    </w:p>
    <w:p w14:paraId="166863F5">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，属于</w:t>
      </w:r>
      <w:r>
        <w:rPr>
          <w:rFonts w:hint="eastAsia" w:ascii="宋体" w:hAnsi="宋体" w:eastAsia="宋体" w:cs="宋体"/>
          <w:color w:val="auto"/>
          <w:sz w:val="24"/>
          <w:highlight w:val="none"/>
          <w:u w:val="single"/>
        </w:rPr>
        <w:t>（招标文件中明确的所属行业）</w:t>
      </w:r>
      <w:r>
        <w:rPr>
          <w:rFonts w:hint="eastAsia" w:ascii="宋体" w:hAnsi="宋体" w:eastAsia="宋体" w:cs="宋体"/>
          <w:color w:val="auto"/>
          <w:sz w:val="24"/>
          <w:highlight w:val="none"/>
        </w:rPr>
        <w:t>； 承建（承接）企业为</w:t>
      </w:r>
      <w:r>
        <w:rPr>
          <w:rFonts w:hint="eastAsia" w:ascii="宋体" w:hAnsi="宋体" w:eastAsia="宋体" w:cs="宋体"/>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万元，属于</w:t>
      </w:r>
      <w:r>
        <w:rPr>
          <w:rFonts w:hint="eastAsia" w:ascii="宋体" w:hAnsi="宋体" w:eastAsia="宋体" w:cs="宋体"/>
          <w:color w:val="auto"/>
          <w:sz w:val="24"/>
          <w:highlight w:val="none"/>
          <w:u w:val="single"/>
        </w:rPr>
        <w:t>（中型企业、小型企业、微型企业）</w:t>
      </w:r>
      <w:r>
        <w:rPr>
          <w:rFonts w:hint="eastAsia" w:ascii="宋体" w:hAnsi="宋体" w:eastAsia="宋体" w:cs="宋体"/>
          <w:color w:val="auto"/>
          <w:sz w:val="24"/>
          <w:highlight w:val="none"/>
        </w:rPr>
        <w:t xml:space="preserve">； </w:t>
      </w:r>
    </w:p>
    <w:p w14:paraId="4E23BCB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，属于</w:t>
      </w:r>
      <w:r>
        <w:rPr>
          <w:rFonts w:hint="eastAsia" w:ascii="宋体" w:hAnsi="宋体" w:eastAsia="宋体" w:cs="宋体"/>
          <w:color w:val="auto"/>
          <w:sz w:val="24"/>
          <w:highlight w:val="none"/>
          <w:u w:val="single"/>
        </w:rPr>
        <w:t>（招标文件中明确的所属行业）</w:t>
      </w:r>
      <w:r>
        <w:rPr>
          <w:rFonts w:hint="eastAsia" w:ascii="宋体" w:hAnsi="宋体" w:eastAsia="宋体" w:cs="宋体"/>
          <w:color w:val="auto"/>
          <w:sz w:val="24"/>
          <w:highlight w:val="none"/>
        </w:rPr>
        <w:t>； 承建（承接）企业为</w:t>
      </w:r>
      <w:r>
        <w:rPr>
          <w:rFonts w:hint="eastAsia" w:ascii="宋体" w:hAnsi="宋体" w:eastAsia="宋体" w:cs="宋体"/>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万元，属于</w:t>
      </w:r>
      <w:r>
        <w:rPr>
          <w:rFonts w:hint="eastAsia" w:ascii="宋体" w:hAnsi="宋体" w:eastAsia="宋体" w:cs="宋体"/>
          <w:color w:val="auto"/>
          <w:sz w:val="24"/>
          <w:highlight w:val="none"/>
          <w:u w:val="single"/>
        </w:rPr>
        <w:t>（中型企业、小型企业、微型企业）</w:t>
      </w:r>
      <w:r>
        <w:rPr>
          <w:rFonts w:hint="eastAsia" w:ascii="宋体" w:hAnsi="宋体" w:eastAsia="宋体" w:cs="宋体"/>
          <w:color w:val="auto"/>
          <w:sz w:val="24"/>
          <w:highlight w:val="none"/>
        </w:rPr>
        <w:t>；</w:t>
      </w:r>
    </w:p>
    <w:p w14:paraId="124609D3">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p w14:paraId="51D76BB4">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以上企业，不属于大企业的分支机构，不存在控股股东为大企业的情形，也不存在与大企业的负责人为同一人的情形。</w:t>
      </w:r>
    </w:p>
    <w:p w14:paraId="02AD1114">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p>
    <w:p w14:paraId="5DCB7AF2">
      <w:pPr>
        <w:adjustRightInd w:val="0"/>
        <w:snapToGrid w:val="0"/>
        <w:spacing w:line="360" w:lineRule="auto"/>
        <w:ind w:firstLine="480" w:firstLineChars="200"/>
        <w:rPr>
          <w:rFonts w:hint="eastAsia" w:ascii="宋体" w:hAnsi="宋体" w:eastAsia="宋体" w:cs="宋体"/>
          <w:color w:val="auto"/>
          <w:sz w:val="24"/>
          <w:highlight w:val="none"/>
        </w:rPr>
      </w:pPr>
    </w:p>
    <w:p w14:paraId="2741B25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企业名称（盖章）： </w:t>
      </w:r>
    </w:p>
    <w:p w14:paraId="046911B3">
      <w:pPr>
        <w:adjustRightInd w:val="0"/>
        <w:snapToGrid w:val="0"/>
        <w:spacing w:line="360" w:lineRule="auto"/>
        <w:ind w:firstLine="480" w:firstLineChars="200"/>
        <w:rPr>
          <w:rFonts w:hint="eastAsia" w:ascii="宋体" w:hAnsi="宋体" w:eastAsia="宋体" w:cs="宋体"/>
          <w:color w:val="auto"/>
          <w:sz w:val="24"/>
          <w:highlight w:val="none"/>
        </w:rPr>
      </w:pPr>
    </w:p>
    <w:p w14:paraId="40A6A16E">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w:t>
      </w:r>
    </w:p>
    <w:p w14:paraId="74C5328F">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注：</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从业人员、营业收入、资产总额填报上一年度数据，无上一年度数据的新成立企业可不填报。</w:t>
      </w:r>
    </w:p>
    <w:p w14:paraId="698F406A">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中标（成交）供应商的《中小企业声明函》将随中标（成交）结果公告进行公示。供应商按照本办法规定提供声明函内容不实的，属于提供虚假材料谋取中标、成交，依照《中华人民共和国政府采购法》等国家有关规定追究相应责任。</w:t>
      </w:r>
    </w:p>
    <w:p w14:paraId="79BD9CC5">
      <w:pPr>
        <w:spacing w:line="560" w:lineRule="exact"/>
        <w:rPr>
          <w:rFonts w:hint="eastAsia" w:ascii="宋体" w:hAnsi="宋体" w:eastAsia="宋体" w:cs="宋体"/>
          <w:b/>
          <w:bCs/>
          <w:color w:val="auto"/>
          <w:sz w:val="32"/>
          <w:szCs w:val="32"/>
          <w:highlight w:val="none"/>
        </w:rPr>
      </w:pPr>
    </w:p>
    <w:p w14:paraId="667C5FA1">
      <w:pPr>
        <w:widowControl/>
        <w:adjustRightInd w:val="0"/>
        <w:snapToGrid w:val="0"/>
        <w:spacing w:line="400" w:lineRule="exact"/>
        <w:ind w:left="141" w:leftChars="67"/>
        <w:rPr>
          <w:rFonts w:hint="eastAsia" w:ascii="宋体" w:hAnsi="宋体" w:eastAsia="宋体" w:cs="宋体"/>
          <w:color w:val="auto"/>
          <w:szCs w:val="21"/>
          <w:highlight w:val="none"/>
        </w:rPr>
      </w:pPr>
    </w:p>
    <w:p w14:paraId="6E6CC214">
      <w:pPr>
        <w:widowControl/>
        <w:jc w:val="center"/>
        <w:rPr>
          <w:rFonts w:hint="eastAsia" w:ascii="宋体" w:hAnsi="宋体" w:eastAsia="宋体" w:cs="宋体"/>
          <w:b/>
          <w:color w:val="auto"/>
          <w:sz w:val="30"/>
          <w:szCs w:val="30"/>
          <w:highlight w:val="none"/>
        </w:rPr>
      </w:pPr>
      <w:r>
        <w:rPr>
          <w:rFonts w:hint="eastAsia" w:ascii="宋体" w:hAnsi="宋体" w:eastAsia="宋体" w:cs="宋体"/>
          <w:b/>
          <w:color w:val="auto"/>
          <w:szCs w:val="21"/>
          <w:highlight w:val="none"/>
        </w:rPr>
        <w:br w:type="page"/>
      </w:r>
      <w:r>
        <w:rPr>
          <w:rFonts w:hint="eastAsia" w:ascii="宋体" w:hAnsi="宋体" w:eastAsia="宋体" w:cs="宋体"/>
          <w:b/>
          <w:color w:val="auto"/>
          <w:sz w:val="30"/>
          <w:szCs w:val="30"/>
          <w:highlight w:val="none"/>
        </w:rPr>
        <w:t>残疾人福利性单位声明函</w:t>
      </w:r>
    </w:p>
    <w:p w14:paraId="78310721">
      <w:pPr>
        <w:spacing w:line="400" w:lineRule="exact"/>
        <w:rPr>
          <w:rFonts w:hint="eastAsia" w:ascii="宋体" w:hAnsi="宋体" w:eastAsia="宋体" w:cs="宋体"/>
          <w:b/>
          <w:color w:val="auto"/>
          <w:spacing w:val="6"/>
          <w:szCs w:val="21"/>
          <w:highlight w:val="none"/>
        </w:rPr>
      </w:pPr>
    </w:p>
    <w:p w14:paraId="5F0F2AA5">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本单位郑重声明，根据《财政部 民政部 中国残疾人联合会关于促进残疾人就业政府采购政策的通知》（财库〔2017〕141号）的规定，本单位为符合条件的残疾人福利性单位，且本单位参加______单位的项目编号为______的________项目采购活动提供本单位制造的货物（由本单位承担工程/提供服务），或者提供其他残疾人福利性单位制造的货物（不包括使用非残疾人福利性单位注册商标的货物）。</w:t>
      </w:r>
    </w:p>
    <w:p w14:paraId="3D00348D">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本单位对上述声明的真实性负责。如有虚假，将依法承担相应责任。</w:t>
      </w:r>
    </w:p>
    <w:p w14:paraId="1B6B5AA0">
      <w:pPr>
        <w:widowControl/>
        <w:adjustRightInd w:val="0"/>
        <w:snapToGrid w:val="0"/>
        <w:spacing w:line="360" w:lineRule="auto"/>
        <w:ind w:left="142" w:firstLine="480" w:firstLineChars="200"/>
        <w:rPr>
          <w:rFonts w:hint="eastAsia" w:ascii="宋体" w:hAnsi="宋体" w:eastAsia="宋体" w:cs="宋体"/>
          <w:color w:val="auto"/>
          <w:sz w:val="24"/>
          <w:highlight w:val="none"/>
        </w:rPr>
      </w:pPr>
    </w:p>
    <w:p w14:paraId="3055991F">
      <w:pPr>
        <w:widowControl/>
        <w:adjustRightInd w:val="0"/>
        <w:snapToGrid w:val="0"/>
        <w:spacing w:line="360" w:lineRule="auto"/>
        <w:ind w:left="142" w:firstLine="480" w:firstLineChars="200"/>
        <w:rPr>
          <w:rFonts w:hint="eastAsia" w:ascii="宋体" w:hAnsi="宋体" w:eastAsia="宋体" w:cs="宋体"/>
          <w:color w:val="auto"/>
          <w:sz w:val="24"/>
          <w:highlight w:val="none"/>
        </w:rPr>
      </w:pPr>
    </w:p>
    <w:p w14:paraId="63B6F39F">
      <w:pPr>
        <w:adjustRightInd w:val="0"/>
        <w:snapToGrid w:val="0"/>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供应商（盖章）</w:t>
      </w:r>
      <w:r>
        <w:rPr>
          <w:rFonts w:hint="eastAsia" w:ascii="宋体" w:hAnsi="宋体" w:eastAsia="宋体" w:cs="宋体"/>
          <w:color w:val="auto"/>
          <w:sz w:val="24"/>
          <w:highlight w:val="none"/>
        </w:rPr>
        <w:t>：</w:t>
      </w:r>
    </w:p>
    <w:p w14:paraId="4CC6DCDB">
      <w:pPr>
        <w:adjustRightInd w:val="0"/>
        <w:snapToGrid w:val="0"/>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p>
    <w:p w14:paraId="7F54921B">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注：1</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供应商如不提供此声明函，价格将不做相应扣除。</w:t>
      </w:r>
    </w:p>
    <w:p w14:paraId="4434ED87">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p>
    <w:p w14:paraId="1F9FE561">
      <w:pPr>
        <w:spacing w:line="588" w:lineRule="exact"/>
        <w:ind w:firstLine="584" w:firstLineChars="200"/>
        <w:rPr>
          <w:rFonts w:hint="eastAsia" w:ascii="宋体" w:hAnsi="宋体" w:eastAsia="宋体" w:cs="宋体"/>
          <w:color w:val="auto"/>
          <w:spacing w:val="6"/>
          <w:sz w:val="28"/>
          <w:szCs w:val="28"/>
          <w:highlight w:val="none"/>
        </w:rPr>
      </w:pPr>
    </w:p>
    <w:p w14:paraId="01B0BEA7">
      <w:pPr>
        <w:pStyle w:val="2"/>
        <w:rPr>
          <w:rFonts w:hint="eastAsia" w:ascii="宋体" w:hAnsi="宋体" w:eastAsia="宋体" w:cs="宋体"/>
          <w:color w:val="auto"/>
          <w:highlight w:val="none"/>
        </w:rPr>
      </w:pPr>
    </w:p>
    <w:p w14:paraId="15E476D4">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p>
    <w:p w14:paraId="3825C7BC">
      <w:pPr>
        <w:widowControl/>
        <w:adjustRightInd w:val="0"/>
        <w:snapToGrid w:val="0"/>
        <w:spacing w:line="360" w:lineRule="auto"/>
        <w:ind w:firstLine="602" w:firstLineChars="200"/>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监狱企业证明函</w:t>
      </w:r>
    </w:p>
    <w:p w14:paraId="6A9456B5">
      <w:pPr>
        <w:widowControl/>
        <w:adjustRightInd w:val="0"/>
        <w:snapToGrid w:val="0"/>
        <w:spacing w:line="360" w:lineRule="auto"/>
        <w:ind w:firstLine="482" w:firstLineChars="200"/>
        <w:jc w:val="center"/>
        <w:rPr>
          <w:rFonts w:hint="eastAsia" w:ascii="宋体" w:hAnsi="宋体" w:eastAsia="宋体" w:cs="宋体"/>
          <w:b/>
          <w:color w:val="auto"/>
          <w:sz w:val="24"/>
          <w:highlight w:val="none"/>
        </w:rPr>
      </w:pPr>
    </w:p>
    <w:p w14:paraId="6F9E654C">
      <w:pPr>
        <w:adjustRightInd w:val="0"/>
        <w:snapToGrid w:val="0"/>
        <w:spacing w:line="360" w:lineRule="auto"/>
        <w:ind w:firstLine="482" w:firstLineChars="200"/>
        <w:jc w:val="cente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（格式自拟）</w:t>
      </w:r>
    </w:p>
    <w:p w14:paraId="62B5075F">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p>
    <w:p w14:paraId="6E6D33F3">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4D422F33">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p>
    <w:p w14:paraId="174ABE8A">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p>
    <w:p w14:paraId="1BFDF600">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p>
    <w:p w14:paraId="0896679F">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注：1</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供应商如不提供此声明函，价格将不做相应扣除。</w:t>
      </w:r>
    </w:p>
    <w:p w14:paraId="19A26F63">
      <w:pPr>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3DF1BAB1">
      <w:pP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br w:type="page"/>
      </w:r>
    </w:p>
    <w:p w14:paraId="30BAF7E7">
      <w:pPr>
        <w:spacing w:line="360" w:lineRule="auto"/>
        <w:jc w:val="center"/>
        <w:rPr>
          <w:rFonts w:hint="eastAsia" w:ascii="宋体" w:hAnsi="宋体" w:eastAsia="宋体" w:cs="宋体"/>
          <w:b/>
          <w:color w:val="auto"/>
          <w:sz w:val="44"/>
          <w:szCs w:val="24"/>
          <w:highlight w:val="none"/>
        </w:rPr>
      </w:pPr>
      <w:r>
        <w:rPr>
          <w:rFonts w:hint="eastAsia" w:ascii="宋体" w:hAnsi="宋体" w:eastAsia="宋体" w:cs="宋体"/>
          <w:bCs/>
          <w:color w:val="auto"/>
          <w:sz w:val="24"/>
          <w:szCs w:val="21"/>
          <w:highlight w:val="none"/>
        </w:rPr>
        <w:t xml:space="preserve"> </w:t>
      </w:r>
      <w:r>
        <w:rPr>
          <w:rFonts w:hint="eastAsia" w:ascii="宋体" w:hAnsi="宋体" w:eastAsia="宋体" w:cs="宋体"/>
          <w:b/>
          <w:color w:val="auto"/>
          <w:sz w:val="32"/>
          <w:szCs w:val="32"/>
          <w:highlight w:val="none"/>
        </w:rPr>
        <w:t>磋商响应函</w:t>
      </w:r>
    </w:p>
    <w:p w14:paraId="01070333">
      <w:pPr>
        <w:keepNext w:val="0"/>
        <w:keepLines w:val="0"/>
        <w:pageBreakBefore w:val="0"/>
        <w:widowControl w:val="0"/>
        <w:tabs>
          <w:tab w:val="left" w:pos="360"/>
        </w:tabs>
        <w:kinsoku/>
        <w:wordWrap/>
        <w:overflowPunct/>
        <w:topLinePunct w:val="0"/>
        <w:autoSpaceDE/>
        <w:autoSpaceDN/>
        <w:bidi w:val="0"/>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（采购人）</w:t>
      </w:r>
    </w:p>
    <w:p w14:paraId="118737C4">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根据贵方的__________（项目名称、项目编号）磋商文件，正式授权下述______(被授权人姓名)代表我方______________（供应商的名称），全权处理本次项目磋商的有关事宜。</w:t>
      </w:r>
    </w:p>
    <w:p w14:paraId="1D9CCD1B">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据此函，__________（被授权人签字）兹宣布同意如下：</w:t>
      </w:r>
    </w:p>
    <w:p w14:paraId="332C65CE">
      <w:pPr>
        <w:keepNext w:val="0"/>
        <w:keepLines w:val="0"/>
        <w:pageBreakBefore w:val="0"/>
        <w:widowControl w:val="0"/>
        <w:kinsoku/>
        <w:wordWrap/>
        <w:overflowPunct/>
        <w:topLinePunct w:val="0"/>
        <w:autoSpaceDE/>
        <w:autoSpaceDN/>
        <w:bidi w:val="0"/>
        <w:adjustRightInd w:val="0"/>
        <w:snapToGrid/>
        <w:spacing w:line="360" w:lineRule="auto"/>
        <w:ind w:firstLine="48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1.按磋商文件规定的各项要求，向买方提供所需货物、服务（包含与货物相关的服务及与服务相关的货物）。</w:t>
      </w:r>
    </w:p>
    <w:p w14:paraId="2C4459EF">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2.我们完全理解贵方不一定将合同授予最低报价的供应商。</w:t>
      </w:r>
    </w:p>
    <w:p w14:paraId="7034521B">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3.我们已详细审核全部磋商文件及其有效补充文件，我们知道必须放弃提出含糊不清或误解问题的权利。</w:t>
      </w:r>
    </w:p>
    <w:p w14:paraId="47541805">
      <w:pPr>
        <w:keepNext w:val="0"/>
        <w:keepLines w:val="0"/>
        <w:pageBreakBefore w:val="0"/>
        <w:widowControl w:val="0"/>
        <w:kinsoku/>
        <w:wordWrap/>
        <w:overflowPunct/>
        <w:topLinePunct w:val="0"/>
        <w:autoSpaceDE/>
        <w:autoSpaceDN/>
        <w:bidi w:val="0"/>
        <w:adjustRightInd w:val="0"/>
        <w:snapToGrid/>
        <w:spacing w:line="360" w:lineRule="auto"/>
        <w:ind w:firstLine="48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4.我们同意从规定的开标日期起遵循本响应文件，并在规定的磋商有效期期满之前均具有约束力。</w:t>
      </w:r>
    </w:p>
    <w:p w14:paraId="29D18FE3">
      <w:pPr>
        <w:keepNext w:val="0"/>
        <w:keepLines w:val="0"/>
        <w:pageBreakBefore w:val="0"/>
        <w:widowControl w:val="0"/>
        <w:kinsoku/>
        <w:wordWrap/>
        <w:overflowPunct/>
        <w:topLinePunct w:val="0"/>
        <w:autoSpaceDE/>
        <w:autoSpaceDN/>
        <w:bidi w:val="0"/>
        <w:adjustRightInd w:val="0"/>
        <w:snapToGrid/>
        <w:spacing w:line="360" w:lineRule="auto"/>
        <w:ind w:firstLine="48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5.同意向贵方提供贵方可能另外要求的与磋商有关的任何证据或资料，并保证我方已提供和将要提供的文件是真实的、准确的。</w:t>
      </w:r>
    </w:p>
    <w:p w14:paraId="3E17B53C">
      <w:pPr>
        <w:keepNext w:val="0"/>
        <w:keepLines w:val="0"/>
        <w:pageBreakBefore w:val="0"/>
        <w:widowControl w:val="0"/>
        <w:kinsoku/>
        <w:wordWrap/>
        <w:overflowPunct/>
        <w:topLinePunct w:val="0"/>
        <w:autoSpaceDE/>
        <w:autoSpaceDN/>
        <w:bidi w:val="0"/>
        <w:adjustRightInd w:val="0"/>
        <w:snapToGrid/>
        <w:spacing w:line="360" w:lineRule="auto"/>
        <w:ind w:firstLine="48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6.一旦我方成交</w:t>
      </w:r>
      <w:r>
        <w:rPr>
          <w:rFonts w:hint="eastAsia" w:ascii="宋体" w:hAnsi="宋体" w:cs="宋体"/>
          <w:color w:val="auto"/>
          <w:sz w:val="24"/>
          <w:szCs w:val="21"/>
          <w:highlight w:val="none"/>
          <w:lang w:eastAsia="zh-CN"/>
        </w:rPr>
        <w:t>，</w:t>
      </w:r>
      <w:r>
        <w:rPr>
          <w:rFonts w:hint="eastAsia" w:ascii="宋体" w:hAnsi="宋体" w:eastAsia="宋体" w:cs="宋体"/>
          <w:color w:val="auto"/>
          <w:sz w:val="24"/>
          <w:szCs w:val="21"/>
          <w:highlight w:val="none"/>
        </w:rPr>
        <w:t>我方将根据磋商文件的规定，严格履行合同的责任和义务</w:t>
      </w:r>
      <w:r>
        <w:rPr>
          <w:rFonts w:hint="eastAsia" w:ascii="宋体" w:hAnsi="宋体" w:cs="宋体"/>
          <w:color w:val="auto"/>
          <w:sz w:val="24"/>
          <w:szCs w:val="21"/>
          <w:highlight w:val="none"/>
          <w:lang w:eastAsia="zh-CN"/>
        </w:rPr>
        <w:t>，</w:t>
      </w:r>
      <w:r>
        <w:rPr>
          <w:rFonts w:hint="eastAsia" w:ascii="宋体" w:hAnsi="宋体" w:eastAsia="宋体" w:cs="宋体"/>
          <w:color w:val="auto"/>
          <w:sz w:val="24"/>
          <w:szCs w:val="21"/>
          <w:highlight w:val="none"/>
        </w:rPr>
        <w:t>并保证在磋商文件规定的时间完成项目，交付买方验收、使用。</w:t>
      </w:r>
    </w:p>
    <w:p w14:paraId="5AAA14D1">
      <w:pPr>
        <w:keepNext w:val="0"/>
        <w:keepLines w:val="0"/>
        <w:pageBreakBefore w:val="0"/>
        <w:widowControl w:val="0"/>
        <w:kinsoku/>
        <w:wordWrap/>
        <w:overflowPunct/>
        <w:topLinePunct w:val="0"/>
        <w:autoSpaceDE/>
        <w:autoSpaceDN/>
        <w:bidi w:val="0"/>
        <w:adjustRightInd w:val="0"/>
        <w:snapToGrid/>
        <w:spacing w:line="360" w:lineRule="auto"/>
        <w:ind w:left="425"/>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7.我方与本磋商有关的正式通讯地址为：</w:t>
      </w:r>
    </w:p>
    <w:p w14:paraId="28B5B472">
      <w:pPr>
        <w:keepNext w:val="0"/>
        <w:keepLines w:val="0"/>
        <w:pageBreakBefore w:val="0"/>
        <w:widowControl w:val="0"/>
        <w:kinsoku/>
        <w:wordWrap/>
        <w:overflowPunct/>
        <w:topLinePunct w:val="0"/>
        <w:autoSpaceDE/>
        <w:autoSpaceDN/>
        <w:bidi w:val="0"/>
        <w:adjustRightInd w:val="0"/>
        <w:snapToGrid/>
        <w:spacing w:line="360" w:lineRule="auto"/>
        <w:ind w:left="420" w:leftChars="200" w:firstLine="48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地          址：</w:t>
      </w:r>
    </w:p>
    <w:p w14:paraId="1BD91ED3">
      <w:pPr>
        <w:keepNext w:val="0"/>
        <w:keepLines w:val="0"/>
        <w:pageBreakBefore w:val="0"/>
        <w:widowControl w:val="0"/>
        <w:kinsoku/>
        <w:wordWrap/>
        <w:overflowPunct/>
        <w:topLinePunct w:val="0"/>
        <w:autoSpaceDE/>
        <w:autoSpaceDN/>
        <w:bidi w:val="0"/>
        <w:adjustRightInd w:val="0"/>
        <w:snapToGrid/>
        <w:spacing w:line="360" w:lineRule="auto"/>
        <w:ind w:left="420" w:leftChars="200" w:firstLine="48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邮          编：</w:t>
      </w:r>
    </w:p>
    <w:p w14:paraId="4FCF1420">
      <w:pPr>
        <w:keepNext w:val="0"/>
        <w:keepLines w:val="0"/>
        <w:pageBreakBefore w:val="0"/>
        <w:widowControl w:val="0"/>
        <w:kinsoku/>
        <w:wordWrap/>
        <w:overflowPunct/>
        <w:topLinePunct w:val="0"/>
        <w:autoSpaceDE/>
        <w:autoSpaceDN/>
        <w:bidi w:val="0"/>
        <w:adjustRightInd w:val="0"/>
        <w:snapToGrid/>
        <w:spacing w:line="360" w:lineRule="auto"/>
        <w:ind w:left="420" w:leftChars="200" w:firstLine="48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电          话：</w:t>
      </w:r>
    </w:p>
    <w:p w14:paraId="5A87C889">
      <w:pPr>
        <w:keepNext w:val="0"/>
        <w:keepLines w:val="0"/>
        <w:pageBreakBefore w:val="0"/>
        <w:widowControl w:val="0"/>
        <w:kinsoku/>
        <w:wordWrap/>
        <w:overflowPunct/>
        <w:topLinePunct w:val="0"/>
        <w:autoSpaceDE/>
        <w:autoSpaceDN/>
        <w:bidi w:val="0"/>
        <w:adjustRightInd w:val="0"/>
        <w:snapToGrid/>
        <w:spacing w:line="360" w:lineRule="auto"/>
        <w:ind w:left="420" w:leftChars="200" w:firstLine="48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传          真：</w:t>
      </w:r>
    </w:p>
    <w:p w14:paraId="1CF691FE">
      <w:pPr>
        <w:keepNext w:val="0"/>
        <w:keepLines w:val="0"/>
        <w:pageBreakBefore w:val="0"/>
        <w:widowControl w:val="0"/>
        <w:kinsoku/>
        <w:wordWrap/>
        <w:overflowPunct/>
        <w:topLinePunct w:val="0"/>
        <w:autoSpaceDE/>
        <w:autoSpaceDN/>
        <w:bidi w:val="0"/>
        <w:adjustRightInd w:val="0"/>
        <w:snapToGrid/>
        <w:spacing w:line="360" w:lineRule="auto"/>
        <w:ind w:left="420" w:leftChars="200" w:firstLine="48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供应商开户行：</w:t>
      </w:r>
    </w:p>
    <w:p w14:paraId="0D42561C">
      <w:pPr>
        <w:keepNext w:val="0"/>
        <w:keepLines w:val="0"/>
        <w:pageBreakBefore w:val="0"/>
        <w:widowControl w:val="0"/>
        <w:kinsoku/>
        <w:wordWrap/>
        <w:overflowPunct/>
        <w:topLinePunct w:val="0"/>
        <w:autoSpaceDE/>
        <w:autoSpaceDN/>
        <w:bidi w:val="0"/>
        <w:adjustRightInd w:val="0"/>
        <w:snapToGrid/>
        <w:spacing w:line="360" w:lineRule="auto"/>
        <w:ind w:left="420" w:leftChars="200" w:firstLine="48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账          号：</w:t>
      </w:r>
    </w:p>
    <w:p w14:paraId="0B8E72E8">
      <w:pPr>
        <w:keepNext w:val="0"/>
        <w:keepLines w:val="0"/>
        <w:pageBreakBefore w:val="0"/>
        <w:widowControl w:val="0"/>
        <w:kinsoku/>
        <w:wordWrap/>
        <w:overflowPunct/>
        <w:topLinePunct w:val="0"/>
        <w:autoSpaceDE/>
        <w:autoSpaceDN/>
        <w:bidi w:val="0"/>
        <w:adjustRightInd w:val="0"/>
        <w:snapToGrid/>
        <w:spacing w:line="360" w:lineRule="auto"/>
        <w:ind w:left="420" w:leftChars="200" w:firstLine="48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           期：________年____月____日</w:t>
      </w:r>
    </w:p>
    <w:p w14:paraId="3B0C98A1">
      <w:pPr>
        <w:spacing w:line="460" w:lineRule="exact"/>
        <w:rPr>
          <w:rFonts w:hint="eastAsia" w:ascii="宋体" w:hAnsi="宋体" w:eastAsia="宋体" w:cs="宋体"/>
          <w:bCs/>
          <w:color w:val="auto"/>
          <w:sz w:val="24"/>
          <w:szCs w:val="21"/>
          <w:highlight w:val="none"/>
        </w:rPr>
      </w:pPr>
    </w:p>
    <w:p w14:paraId="186C3CBC">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0"/>
          <w:szCs w:val="30"/>
          <w:highlight w:val="none"/>
        </w:rPr>
        <w:br w:type="page" w:clear="all"/>
      </w:r>
      <w:r>
        <w:rPr>
          <w:rFonts w:hint="eastAsia" w:ascii="宋体" w:hAnsi="宋体" w:eastAsia="宋体" w:cs="宋体"/>
          <w:b/>
          <w:color w:val="auto"/>
          <w:sz w:val="32"/>
          <w:szCs w:val="32"/>
          <w:highlight w:val="none"/>
        </w:rPr>
        <w:t>分项报价</w:t>
      </w:r>
      <w:r>
        <w:rPr>
          <w:rFonts w:hint="eastAsia" w:ascii="宋体" w:hAnsi="宋体" w:eastAsia="宋体" w:cs="宋体"/>
          <w:b/>
          <w:color w:val="auto"/>
          <w:sz w:val="32"/>
          <w:szCs w:val="32"/>
          <w:highlight w:val="none"/>
          <w:lang w:val="en-US" w:eastAsia="zh-CN"/>
        </w:rPr>
        <w:t>明细</w:t>
      </w:r>
      <w:r>
        <w:rPr>
          <w:rFonts w:hint="eastAsia" w:ascii="宋体" w:hAnsi="宋体" w:eastAsia="宋体" w:cs="宋体"/>
          <w:b/>
          <w:color w:val="auto"/>
          <w:sz w:val="32"/>
          <w:szCs w:val="32"/>
          <w:highlight w:val="none"/>
        </w:rPr>
        <w:t>表（</w:t>
      </w:r>
      <w:r>
        <w:rPr>
          <w:rFonts w:hint="eastAsia" w:ascii="宋体" w:hAnsi="宋体" w:eastAsia="宋体" w:cs="宋体"/>
          <w:b/>
          <w:color w:val="auto"/>
          <w:sz w:val="32"/>
          <w:szCs w:val="32"/>
          <w:highlight w:val="none"/>
          <w:lang w:val="en-US" w:eastAsia="zh-CN"/>
        </w:rPr>
        <w:t>服务</w:t>
      </w:r>
      <w:r>
        <w:rPr>
          <w:rFonts w:hint="eastAsia" w:ascii="宋体" w:hAnsi="宋体" w:eastAsia="宋体" w:cs="宋体"/>
          <w:b/>
          <w:color w:val="auto"/>
          <w:sz w:val="32"/>
          <w:szCs w:val="32"/>
          <w:highlight w:val="none"/>
        </w:rPr>
        <w:t>类）</w:t>
      </w:r>
    </w:p>
    <w:p w14:paraId="1008A295">
      <w:pPr>
        <w:pStyle w:val="2"/>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供应商（盖章）：</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3"/>
        <w:gridCol w:w="1241"/>
        <w:gridCol w:w="1241"/>
        <w:gridCol w:w="1241"/>
        <w:gridCol w:w="1241"/>
        <w:gridCol w:w="1241"/>
        <w:gridCol w:w="1241"/>
        <w:gridCol w:w="1247"/>
      </w:tblGrid>
      <w:tr w14:paraId="00CB8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jc w:val="center"/>
        </w:trPr>
        <w:tc>
          <w:tcPr>
            <w:tcW w:w="723" w:type="dxa"/>
            <w:noWrap w:val="0"/>
            <w:vAlign w:val="center"/>
          </w:tcPr>
          <w:p w14:paraId="41B8E205">
            <w:pPr>
              <w:autoSpaceDE w:val="0"/>
              <w:autoSpaceDN w:val="0"/>
              <w:jc w:val="center"/>
              <w:rPr>
                <w:rFonts w:hint="eastAsia" w:ascii="宋体" w:hAnsi="宋体" w:eastAsia="宋体" w:cs="宋体"/>
                <w:b/>
                <w:color w:val="auto"/>
                <w:sz w:val="24"/>
                <w:highlight w:val="none"/>
                <w:lang w:val="zh-CN" w:bidi="zh-CN"/>
              </w:rPr>
            </w:pPr>
            <w:r>
              <w:rPr>
                <w:rFonts w:hint="eastAsia" w:ascii="宋体" w:hAnsi="宋体" w:eastAsia="宋体" w:cs="宋体"/>
                <w:b/>
                <w:color w:val="auto"/>
                <w:sz w:val="24"/>
                <w:highlight w:val="none"/>
                <w:lang w:val="zh-CN" w:bidi="zh-CN"/>
              </w:rPr>
              <w:t>序号</w:t>
            </w:r>
          </w:p>
        </w:tc>
        <w:tc>
          <w:tcPr>
            <w:tcW w:w="1241" w:type="dxa"/>
            <w:noWrap w:val="0"/>
            <w:vAlign w:val="center"/>
          </w:tcPr>
          <w:p w14:paraId="7E2C30DB">
            <w:pPr>
              <w:autoSpaceDE w:val="0"/>
              <w:autoSpaceDN w:val="0"/>
              <w:jc w:val="center"/>
              <w:rPr>
                <w:rFonts w:hint="eastAsia" w:ascii="宋体" w:hAnsi="宋体" w:eastAsia="宋体" w:cs="宋体"/>
                <w:b/>
                <w:color w:val="auto"/>
                <w:sz w:val="24"/>
                <w:highlight w:val="none"/>
                <w:lang w:val="zh-CN" w:bidi="zh-CN"/>
              </w:rPr>
            </w:pPr>
            <w:r>
              <w:rPr>
                <w:rFonts w:hint="eastAsia" w:ascii="宋体" w:hAnsi="宋体" w:eastAsia="宋体" w:cs="宋体"/>
                <w:b/>
                <w:color w:val="auto"/>
                <w:sz w:val="24"/>
                <w:highlight w:val="none"/>
                <w:lang w:val="zh-CN" w:bidi="zh-CN"/>
              </w:rPr>
              <w:t>名称</w:t>
            </w:r>
          </w:p>
        </w:tc>
        <w:tc>
          <w:tcPr>
            <w:tcW w:w="1241" w:type="dxa"/>
            <w:noWrap w:val="0"/>
            <w:vAlign w:val="center"/>
          </w:tcPr>
          <w:p w14:paraId="3DB7E295">
            <w:pPr>
              <w:autoSpaceDE w:val="0"/>
              <w:autoSpaceDN w:val="0"/>
              <w:jc w:val="center"/>
              <w:rPr>
                <w:rFonts w:hint="eastAsia" w:ascii="宋体" w:hAnsi="宋体" w:eastAsia="宋体" w:cs="宋体"/>
                <w:b/>
                <w:color w:val="auto"/>
                <w:sz w:val="24"/>
                <w:highlight w:val="none"/>
                <w:lang w:val="en-US" w:bidi="zh-CN"/>
              </w:rPr>
            </w:pPr>
            <w:r>
              <w:rPr>
                <w:rFonts w:hint="eastAsia" w:ascii="宋体" w:hAnsi="宋体" w:eastAsia="宋体" w:cs="宋体"/>
                <w:b/>
                <w:color w:val="auto"/>
                <w:sz w:val="24"/>
                <w:highlight w:val="none"/>
                <w:lang w:val="en-US" w:bidi="zh-CN"/>
              </w:rPr>
              <w:t>服务范围</w:t>
            </w:r>
          </w:p>
        </w:tc>
        <w:tc>
          <w:tcPr>
            <w:tcW w:w="1241" w:type="dxa"/>
            <w:noWrap w:val="0"/>
            <w:vAlign w:val="center"/>
          </w:tcPr>
          <w:p w14:paraId="72C98236">
            <w:pPr>
              <w:autoSpaceDE w:val="0"/>
              <w:autoSpaceDN w:val="0"/>
              <w:jc w:val="center"/>
              <w:rPr>
                <w:rFonts w:hint="eastAsia" w:ascii="宋体" w:hAnsi="宋体" w:eastAsia="宋体" w:cs="宋体"/>
                <w:b/>
                <w:color w:val="auto"/>
                <w:sz w:val="24"/>
                <w:highlight w:val="none"/>
                <w:lang w:val="zh-CN" w:bidi="zh-CN"/>
              </w:rPr>
            </w:pPr>
            <w:r>
              <w:rPr>
                <w:rFonts w:hint="eastAsia" w:ascii="宋体" w:hAnsi="宋体" w:eastAsia="宋体" w:cs="宋体"/>
                <w:b/>
                <w:color w:val="auto"/>
                <w:sz w:val="24"/>
                <w:highlight w:val="none"/>
                <w:lang w:val="en-US" w:bidi="zh-CN"/>
              </w:rPr>
              <w:t>服务要求</w:t>
            </w:r>
          </w:p>
        </w:tc>
        <w:tc>
          <w:tcPr>
            <w:tcW w:w="1241" w:type="dxa"/>
            <w:noWrap w:val="0"/>
            <w:vAlign w:val="center"/>
          </w:tcPr>
          <w:p w14:paraId="143BAA0F">
            <w:pPr>
              <w:autoSpaceDE w:val="0"/>
              <w:autoSpaceDN w:val="0"/>
              <w:jc w:val="center"/>
              <w:rPr>
                <w:rFonts w:hint="eastAsia" w:ascii="宋体" w:hAnsi="宋体" w:eastAsia="宋体" w:cs="宋体"/>
                <w:b/>
                <w:color w:val="auto"/>
                <w:sz w:val="24"/>
                <w:highlight w:val="none"/>
                <w:lang w:val="en-US" w:bidi="zh-CN"/>
              </w:rPr>
            </w:pPr>
            <w:r>
              <w:rPr>
                <w:rFonts w:hint="eastAsia" w:ascii="宋体" w:hAnsi="宋体" w:eastAsia="宋体" w:cs="宋体"/>
                <w:b/>
                <w:color w:val="auto"/>
                <w:sz w:val="24"/>
                <w:highlight w:val="none"/>
                <w:lang w:val="en-US" w:bidi="zh-CN"/>
              </w:rPr>
              <w:t>服务时间</w:t>
            </w:r>
          </w:p>
        </w:tc>
        <w:tc>
          <w:tcPr>
            <w:tcW w:w="1241" w:type="dxa"/>
            <w:tcBorders>
              <w:right w:val="single" w:color="auto" w:sz="4" w:space="0"/>
            </w:tcBorders>
            <w:noWrap w:val="0"/>
            <w:vAlign w:val="center"/>
          </w:tcPr>
          <w:p w14:paraId="0F684E09">
            <w:pPr>
              <w:autoSpaceDE w:val="0"/>
              <w:autoSpaceDN w:val="0"/>
              <w:jc w:val="center"/>
              <w:rPr>
                <w:rFonts w:hint="eastAsia" w:ascii="宋体" w:hAnsi="宋体" w:eastAsia="宋体" w:cs="宋体"/>
                <w:b/>
                <w:color w:val="auto"/>
                <w:sz w:val="24"/>
                <w:highlight w:val="none"/>
                <w:lang w:val="en-US" w:bidi="zh-CN"/>
              </w:rPr>
            </w:pPr>
            <w:r>
              <w:rPr>
                <w:rFonts w:hint="eastAsia" w:ascii="宋体" w:hAnsi="宋体" w:eastAsia="宋体" w:cs="宋体"/>
                <w:b/>
                <w:color w:val="auto"/>
                <w:sz w:val="24"/>
                <w:highlight w:val="none"/>
                <w:lang w:val="en-US" w:bidi="zh-CN"/>
              </w:rPr>
              <w:t>服务标准</w:t>
            </w:r>
          </w:p>
        </w:tc>
        <w:tc>
          <w:tcPr>
            <w:tcW w:w="1241" w:type="dxa"/>
            <w:tcBorders>
              <w:left w:val="single" w:color="auto" w:sz="4" w:space="0"/>
            </w:tcBorders>
            <w:noWrap w:val="0"/>
            <w:vAlign w:val="center"/>
          </w:tcPr>
          <w:p w14:paraId="0F898831">
            <w:pPr>
              <w:autoSpaceDE w:val="0"/>
              <w:autoSpaceDN w:val="0"/>
              <w:jc w:val="center"/>
              <w:rPr>
                <w:rFonts w:hint="eastAsia" w:ascii="宋体" w:hAnsi="宋体" w:eastAsia="宋体" w:cs="宋体"/>
                <w:b/>
                <w:color w:val="auto"/>
                <w:sz w:val="24"/>
                <w:highlight w:val="none"/>
                <w:lang w:val="en-US" w:bidi="zh-CN"/>
              </w:rPr>
            </w:pPr>
            <w:r>
              <w:rPr>
                <w:rFonts w:hint="eastAsia" w:ascii="宋体" w:hAnsi="宋体" w:eastAsia="宋体" w:cs="宋体"/>
                <w:b/>
                <w:color w:val="auto"/>
                <w:sz w:val="24"/>
                <w:highlight w:val="none"/>
                <w:lang w:val="en-US" w:bidi="zh-CN"/>
              </w:rPr>
              <w:t>金额</w:t>
            </w:r>
          </w:p>
        </w:tc>
        <w:tc>
          <w:tcPr>
            <w:tcW w:w="1247" w:type="dxa"/>
            <w:noWrap w:val="0"/>
            <w:vAlign w:val="center"/>
          </w:tcPr>
          <w:p w14:paraId="0A0E9444">
            <w:pPr>
              <w:autoSpaceDE w:val="0"/>
              <w:autoSpaceDN w:val="0"/>
              <w:jc w:val="center"/>
              <w:rPr>
                <w:rFonts w:hint="eastAsia" w:ascii="宋体" w:hAnsi="宋体" w:eastAsia="宋体" w:cs="宋体"/>
                <w:b/>
                <w:color w:val="auto"/>
                <w:sz w:val="24"/>
                <w:highlight w:val="none"/>
                <w:lang w:val="zh-CN" w:bidi="zh-CN"/>
              </w:rPr>
            </w:pPr>
            <w:r>
              <w:rPr>
                <w:rFonts w:hint="eastAsia" w:ascii="宋体" w:hAnsi="宋体" w:eastAsia="宋体" w:cs="宋体"/>
                <w:b/>
                <w:color w:val="auto"/>
                <w:sz w:val="24"/>
                <w:highlight w:val="none"/>
                <w:lang w:val="zh-CN" w:bidi="zh-CN"/>
              </w:rPr>
              <w:t>备注</w:t>
            </w:r>
          </w:p>
        </w:tc>
      </w:tr>
      <w:tr w14:paraId="7A770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jc w:val="center"/>
        </w:trPr>
        <w:tc>
          <w:tcPr>
            <w:tcW w:w="723" w:type="dxa"/>
            <w:noWrap w:val="0"/>
            <w:vAlign w:val="center"/>
          </w:tcPr>
          <w:p w14:paraId="6DDB772E">
            <w:pPr>
              <w:autoSpaceDE w:val="0"/>
              <w:autoSpaceDN w:val="0"/>
              <w:ind w:left="8"/>
              <w:jc w:val="center"/>
              <w:rPr>
                <w:rFonts w:hint="eastAsia" w:ascii="宋体" w:hAnsi="宋体" w:eastAsia="宋体" w:cs="宋体"/>
                <w:color w:val="auto"/>
                <w:sz w:val="24"/>
                <w:highlight w:val="none"/>
                <w:lang w:val="zh-CN" w:bidi="zh-CN"/>
              </w:rPr>
            </w:pPr>
            <w:r>
              <w:rPr>
                <w:rFonts w:hint="eastAsia" w:ascii="宋体" w:hAnsi="宋体" w:eastAsia="宋体" w:cs="宋体"/>
                <w:color w:val="auto"/>
                <w:sz w:val="24"/>
                <w:highlight w:val="none"/>
                <w:lang w:val="zh-CN" w:bidi="zh-CN"/>
              </w:rPr>
              <w:t>1</w:t>
            </w:r>
          </w:p>
        </w:tc>
        <w:tc>
          <w:tcPr>
            <w:tcW w:w="1241" w:type="dxa"/>
            <w:noWrap w:val="0"/>
            <w:vAlign w:val="center"/>
          </w:tcPr>
          <w:p w14:paraId="3EA40684">
            <w:pPr>
              <w:autoSpaceDE w:val="0"/>
              <w:autoSpaceDN w:val="0"/>
              <w:jc w:val="center"/>
              <w:rPr>
                <w:rFonts w:hint="eastAsia" w:ascii="宋体" w:hAnsi="宋体" w:eastAsia="宋体" w:cs="宋体"/>
                <w:color w:val="auto"/>
                <w:sz w:val="24"/>
                <w:highlight w:val="none"/>
                <w:lang w:val="zh-CN" w:bidi="zh-CN"/>
              </w:rPr>
            </w:pPr>
          </w:p>
        </w:tc>
        <w:tc>
          <w:tcPr>
            <w:tcW w:w="1241" w:type="dxa"/>
            <w:noWrap w:val="0"/>
            <w:vAlign w:val="center"/>
          </w:tcPr>
          <w:p w14:paraId="2AE88EDC">
            <w:pPr>
              <w:autoSpaceDE w:val="0"/>
              <w:autoSpaceDN w:val="0"/>
              <w:jc w:val="center"/>
              <w:rPr>
                <w:rFonts w:hint="eastAsia" w:ascii="宋体" w:hAnsi="宋体" w:eastAsia="宋体" w:cs="宋体"/>
                <w:color w:val="auto"/>
                <w:sz w:val="24"/>
                <w:highlight w:val="none"/>
                <w:lang w:val="zh-CN" w:bidi="zh-CN"/>
              </w:rPr>
            </w:pPr>
          </w:p>
        </w:tc>
        <w:tc>
          <w:tcPr>
            <w:tcW w:w="1241" w:type="dxa"/>
            <w:noWrap w:val="0"/>
            <w:vAlign w:val="center"/>
          </w:tcPr>
          <w:p w14:paraId="2D34ECB2">
            <w:pPr>
              <w:autoSpaceDE w:val="0"/>
              <w:autoSpaceDN w:val="0"/>
              <w:jc w:val="center"/>
              <w:rPr>
                <w:rFonts w:hint="eastAsia" w:ascii="宋体" w:hAnsi="宋体" w:eastAsia="宋体" w:cs="宋体"/>
                <w:color w:val="auto"/>
                <w:sz w:val="24"/>
                <w:highlight w:val="none"/>
                <w:lang w:val="zh-CN" w:bidi="zh-CN"/>
              </w:rPr>
            </w:pPr>
          </w:p>
        </w:tc>
        <w:tc>
          <w:tcPr>
            <w:tcW w:w="1241" w:type="dxa"/>
            <w:noWrap w:val="0"/>
            <w:vAlign w:val="center"/>
          </w:tcPr>
          <w:p w14:paraId="3D794AB0">
            <w:pPr>
              <w:autoSpaceDE w:val="0"/>
              <w:autoSpaceDN w:val="0"/>
              <w:jc w:val="center"/>
              <w:rPr>
                <w:rFonts w:hint="eastAsia" w:ascii="宋体" w:hAnsi="宋体" w:eastAsia="宋体" w:cs="宋体"/>
                <w:color w:val="auto"/>
                <w:sz w:val="24"/>
                <w:highlight w:val="none"/>
                <w:lang w:val="zh-CN" w:bidi="zh-CN"/>
              </w:rPr>
            </w:pPr>
          </w:p>
        </w:tc>
        <w:tc>
          <w:tcPr>
            <w:tcW w:w="1241" w:type="dxa"/>
            <w:tcBorders>
              <w:right w:val="single" w:color="auto" w:sz="4" w:space="0"/>
            </w:tcBorders>
            <w:noWrap w:val="0"/>
            <w:vAlign w:val="center"/>
          </w:tcPr>
          <w:p w14:paraId="20CEF761">
            <w:pPr>
              <w:autoSpaceDE w:val="0"/>
              <w:autoSpaceDN w:val="0"/>
              <w:jc w:val="center"/>
              <w:rPr>
                <w:rFonts w:hint="eastAsia" w:ascii="宋体" w:hAnsi="宋体" w:eastAsia="宋体" w:cs="宋体"/>
                <w:color w:val="auto"/>
                <w:sz w:val="24"/>
                <w:highlight w:val="none"/>
                <w:lang w:val="zh-CN" w:bidi="zh-CN"/>
              </w:rPr>
            </w:pPr>
          </w:p>
        </w:tc>
        <w:tc>
          <w:tcPr>
            <w:tcW w:w="1241" w:type="dxa"/>
            <w:tcBorders>
              <w:left w:val="single" w:color="auto" w:sz="4" w:space="0"/>
            </w:tcBorders>
            <w:noWrap w:val="0"/>
            <w:vAlign w:val="center"/>
          </w:tcPr>
          <w:p w14:paraId="0E191902">
            <w:pPr>
              <w:autoSpaceDE w:val="0"/>
              <w:autoSpaceDN w:val="0"/>
              <w:jc w:val="center"/>
              <w:rPr>
                <w:rFonts w:hint="eastAsia" w:ascii="宋体" w:hAnsi="宋体" w:eastAsia="宋体" w:cs="宋体"/>
                <w:color w:val="auto"/>
                <w:sz w:val="24"/>
                <w:highlight w:val="none"/>
                <w:lang w:val="zh-CN" w:bidi="zh-CN"/>
              </w:rPr>
            </w:pPr>
          </w:p>
        </w:tc>
        <w:tc>
          <w:tcPr>
            <w:tcW w:w="1247" w:type="dxa"/>
            <w:noWrap w:val="0"/>
            <w:vAlign w:val="center"/>
          </w:tcPr>
          <w:p w14:paraId="1064C284">
            <w:pPr>
              <w:autoSpaceDE w:val="0"/>
              <w:autoSpaceDN w:val="0"/>
              <w:jc w:val="center"/>
              <w:rPr>
                <w:rFonts w:hint="eastAsia" w:ascii="宋体" w:hAnsi="宋体" w:eastAsia="宋体" w:cs="宋体"/>
                <w:color w:val="auto"/>
                <w:sz w:val="24"/>
                <w:highlight w:val="none"/>
                <w:lang w:val="zh-CN" w:bidi="zh-CN"/>
              </w:rPr>
            </w:pPr>
          </w:p>
        </w:tc>
      </w:tr>
      <w:tr w14:paraId="17E84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jc w:val="center"/>
        </w:trPr>
        <w:tc>
          <w:tcPr>
            <w:tcW w:w="723" w:type="dxa"/>
            <w:noWrap w:val="0"/>
            <w:vAlign w:val="center"/>
          </w:tcPr>
          <w:p w14:paraId="11C1D3B6">
            <w:pPr>
              <w:autoSpaceDE w:val="0"/>
              <w:autoSpaceDN w:val="0"/>
              <w:ind w:left="8"/>
              <w:jc w:val="center"/>
              <w:rPr>
                <w:rFonts w:hint="eastAsia" w:ascii="宋体" w:hAnsi="宋体" w:eastAsia="宋体" w:cs="宋体"/>
                <w:color w:val="auto"/>
                <w:sz w:val="24"/>
                <w:highlight w:val="none"/>
                <w:lang w:val="zh-CN" w:bidi="zh-CN"/>
              </w:rPr>
            </w:pPr>
            <w:r>
              <w:rPr>
                <w:rFonts w:hint="eastAsia" w:ascii="宋体" w:hAnsi="宋体" w:eastAsia="宋体" w:cs="宋体"/>
                <w:color w:val="auto"/>
                <w:sz w:val="24"/>
                <w:highlight w:val="none"/>
                <w:lang w:val="zh-CN" w:bidi="zh-CN"/>
              </w:rPr>
              <w:t>2</w:t>
            </w:r>
          </w:p>
        </w:tc>
        <w:tc>
          <w:tcPr>
            <w:tcW w:w="1241" w:type="dxa"/>
            <w:noWrap w:val="0"/>
            <w:vAlign w:val="center"/>
          </w:tcPr>
          <w:p w14:paraId="7797444F">
            <w:pPr>
              <w:autoSpaceDE w:val="0"/>
              <w:autoSpaceDN w:val="0"/>
              <w:jc w:val="center"/>
              <w:rPr>
                <w:rFonts w:hint="eastAsia" w:ascii="宋体" w:hAnsi="宋体" w:eastAsia="宋体" w:cs="宋体"/>
                <w:color w:val="auto"/>
                <w:sz w:val="24"/>
                <w:highlight w:val="none"/>
                <w:lang w:val="zh-CN" w:bidi="zh-CN"/>
              </w:rPr>
            </w:pPr>
          </w:p>
        </w:tc>
        <w:tc>
          <w:tcPr>
            <w:tcW w:w="1241" w:type="dxa"/>
            <w:noWrap w:val="0"/>
            <w:vAlign w:val="center"/>
          </w:tcPr>
          <w:p w14:paraId="31637DD5">
            <w:pPr>
              <w:autoSpaceDE w:val="0"/>
              <w:autoSpaceDN w:val="0"/>
              <w:jc w:val="center"/>
              <w:rPr>
                <w:rFonts w:hint="eastAsia" w:ascii="宋体" w:hAnsi="宋体" w:eastAsia="宋体" w:cs="宋体"/>
                <w:color w:val="auto"/>
                <w:sz w:val="24"/>
                <w:highlight w:val="none"/>
                <w:lang w:val="zh-CN" w:bidi="zh-CN"/>
              </w:rPr>
            </w:pPr>
          </w:p>
        </w:tc>
        <w:tc>
          <w:tcPr>
            <w:tcW w:w="1241" w:type="dxa"/>
            <w:noWrap w:val="0"/>
            <w:vAlign w:val="center"/>
          </w:tcPr>
          <w:p w14:paraId="35E13ED1">
            <w:pPr>
              <w:autoSpaceDE w:val="0"/>
              <w:autoSpaceDN w:val="0"/>
              <w:jc w:val="center"/>
              <w:rPr>
                <w:rFonts w:hint="eastAsia" w:ascii="宋体" w:hAnsi="宋体" w:eastAsia="宋体" w:cs="宋体"/>
                <w:color w:val="auto"/>
                <w:sz w:val="24"/>
                <w:highlight w:val="none"/>
                <w:lang w:val="zh-CN" w:bidi="zh-CN"/>
              </w:rPr>
            </w:pPr>
          </w:p>
        </w:tc>
        <w:tc>
          <w:tcPr>
            <w:tcW w:w="1241" w:type="dxa"/>
            <w:noWrap w:val="0"/>
            <w:vAlign w:val="center"/>
          </w:tcPr>
          <w:p w14:paraId="640ED674">
            <w:pPr>
              <w:autoSpaceDE w:val="0"/>
              <w:autoSpaceDN w:val="0"/>
              <w:jc w:val="center"/>
              <w:rPr>
                <w:rFonts w:hint="eastAsia" w:ascii="宋体" w:hAnsi="宋体" w:eastAsia="宋体" w:cs="宋体"/>
                <w:color w:val="auto"/>
                <w:sz w:val="24"/>
                <w:highlight w:val="none"/>
                <w:lang w:val="zh-CN" w:bidi="zh-CN"/>
              </w:rPr>
            </w:pPr>
          </w:p>
        </w:tc>
        <w:tc>
          <w:tcPr>
            <w:tcW w:w="1241" w:type="dxa"/>
            <w:tcBorders>
              <w:right w:val="single" w:color="auto" w:sz="4" w:space="0"/>
            </w:tcBorders>
            <w:noWrap w:val="0"/>
            <w:vAlign w:val="center"/>
          </w:tcPr>
          <w:p w14:paraId="7D1BCB38">
            <w:pPr>
              <w:autoSpaceDE w:val="0"/>
              <w:autoSpaceDN w:val="0"/>
              <w:jc w:val="center"/>
              <w:rPr>
                <w:rFonts w:hint="eastAsia" w:ascii="宋体" w:hAnsi="宋体" w:eastAsia="宋体" w:cs="宋体"/>
                <w:color w:val="auto"/>
                <w:sz w:val="24"/>
                <w:highlight w:val="none"/>
                <w:lang w:val="zh-CN" w:bidi="zh-CN"/>
              </w:rPr>
            </w:pPr>
          </w:p>
        </w:tc>
        <w:tc>
          <w:tcPr>
            <w:tcW w:w="1241" w:type="dxa"/>
            <w:tcBorders>
              <w:left w:val="single" w:color="auto" w:sz="4" w:space="0"/>
            </w:tcBorders>
            <w:noWrap w:val="0"/>
            <w:vAlign w:val="center"/>
          </w:tcPr>
          <w:p w14:paraId="0CACE7EC">
            <w:pPr>
              <w:autoSpaceDE w:val="0"/>
              <w:autoSpaceDN w:val="0"/>
              <w:jc w:val="center"/>
              <w:rPr>
                <w:rFonts w:hint="eastAsia" w:ascii="宋体" w:hAnsi="宋体" w:eastAsia="宋体" w:cs="宋体"/>
                <w:color w:val="auto"/>
                <w:sz w:val="24"/>
                <w:highlight w:val="none"/>
                <w:lang w:val="zh-CN" w:bidi="zh-CN"/>
              </w:rPr>
            </w:pPr>
          </w:p>
        </w:tc>
        <w:tc>
          <w:tcPr>
            <w:tcW w:w="1247" w:type="dxa"/>
            <w:noWrap w:val="0"/>
            <w:vAlign w:val="center"/>
          </w:tcPr>
          <w:p w14:paraId="4B574C64">
            <w:pPr>
              <w:autoSpaceDE w:val="0"/>
              <w:autoSpaceDN w:val="0"/>
              <w:jc w:val="center"/>
              <w:rPr>
                <w:rFonts w:hint="eastAsia" w:ascii="宋体" w:hAnsi="宋体" w:eastAsia="宋体" w:cs="宋体"/>
                <w:color w:val="auto"/>
                <w:sz w:val="24"/>
                <w:highlight w:val="none"/>
                <w:lang w:val="zh-CN" w:bidi="zh-CN"/>
              </w:rPr>
            </w:pPr>
          </w:p>
        </w:tc>
      </w:tr>
      <w:tr w14:paraId="21D6A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jc w:val="center"/>
        </w:trPr>
        <w:tc>
          <w:tcPr>
            <w:tcW w:w="723" w:type="dxa"/>
            <w:noWrap w:val="0"/>
            <w:vAlign w:val="center"/>
          </w:tcPr>
          <w:p w14:paraId="5579C805">
            <w:pPr>
              <w:autoSpaceDE w:val="0"/>
              <w:autoSpaceDN w:val="0"/>
              <w:ind w:left="8"/>
              <w:jc w:val="center"/>
              <w:rPr>
                <w:rFonts w:hint="eastAsia" w:ascii="宋体" w:hAnsi="宋体" w:eastAsia="宋体" w:cs="宋体"/>
                <w:color w:val="auto"/>
                <w:sz w:val="24"/>
                <w:highlight w:val="none"/>
                <w:lang w:val="zh-CN" w:bidi="zh-CN"/>
              </w:rPr>
            </w:pPr>
            <w:r>
              <w:rPr>
                <w:rFonts w:hint="eastAsia" w:ascii="宋体" w:hAnsi="宋体" w:eastAsia="宋体" w:cs="宋体"/>
                <w:color w:val="auto"/>
                <w:sz w:val="24"/>
                <w:highlight w:val="none"/>
                <w:lang w:val="zh-CN" w:bidi="zh-CN"/>
              </w:rPr>
              <w:t>3</w:t>
            </w:r>
          </w:p>
        </w:tc>
        <w:tc>
          <w:tcPr>
            <w:tcW w:w="1241" w:type="dxa"/>
            <w:noWrap w:val="0"/>
            <w:vAlign w:val="center"/>
          </w:tcPr>
          <w:p w14:paraId="74E7FD24">
            <w:pPr>
              <w:autoSpaceDE w:val="0"/>
              <w:autoSpaceDN w:val="0"/>
              <w:jc w:val="center"/>
              <w:rPr>
                <w:rFonts w:hint="eastAsia" w:ascii="宋体" w:hAnsi="宋体" w:eastAsia="宋体" w:cs="宋体"/>
                <w:color w:val="auto"/>
                <w:sz w:val="24"/>
                <w:highlight w:val="none"/>
                <w:lang w:val="zh-CN" w:bidi="zh-CN"/>
              </w:rPr>
            </w:pPr>
          </w:p>
        </w:tc>
        <w:tc>
          <w:tcPr>
            <w:tcW w:w="1241" w:type="dxa"/>
            <w:noWrap w:val="0"/>
            <w:vAlign w:val="center"/>
          </w:tcPr>
          <w:p w14:paraId="180CC5C6">
            <w:pPr>
              <w:autoSpaceDE w:val="0"/>
              <w:autoSpaceDN w:val="0"/>
              <w:jc w:val="center"/>
              <w:rPr>
                <w:rFonts w:hint="eastAsia" w:ascii="宋体" w:hAnsi="宋体" w:eastAsia="宋体" w:cs="宋体"/>
                <w:color w:val="auto"/>
                <w:sz w:val="24"/>
                <w:highlight w:val="none"/>
                <w:lang w:val="zh-CN" w:bidi="zh-CN"/>
              </w:rPr>
            </w:pPr>
          </w:p>
        </w:tc>
        <w:tc>
          <w:tcPr>
            <w:tcW w:w="1241" w:type="dxa"/>
            <w:noWrap w:val="0"/>
            <w:vAlign w:val="center"/>
          </w:tcPr>
          <w:p w14:paraId="47E0E3F3">
            <w:pPr>
              <w:autoSpaceDE w:val="0"/>
              <w:autoSpaceDN w:val="0"/>
              <w:jc w:val="center"/>
              <w:rPr>
                <w:rFonts w:hint="eastAsia" w:ascii="宋体" w:hAnsi="宋体" w:eastAsia="宋体" w:cs="宋体"/>
                <w:color w:val="auto"/>
                <w:sz w:val="24"/>
                <w:highlight w:val="none"/>
                <w:lang w:val="zh-CN" w:bidi="zh-CN"/>
              </w:rPr>
            </w:pPr>
          </w:p>
        </w:tc>
        <w:tc>
          <w:tcPr>
            <w:tcW w:w="1241" w:type="dxa"/>
            <w:noWrap w:val="0"/>
            <w:vAlign w:val="center"/>
          </w:tcPr>
          <w:p w14:paraId="617CF299">
            <w:pPr>
              <w:autoSpaceDE w:val="0"/>
              <w:autoSpaceDN w:val="0"/>
              <w:jc w:val="center"/>
              <w:rPr>
                <w:rFonts w:hint="eastAsia" w:ascii="宋体" w:hAnsi="宋体" w:eastAsia="宋体" w:cs="宋体"/>
                <w:color w:val="auto"/>
                <w:sz w:val="24"/>
                <w:highlight w:val="none"/>
                <w:lang w:val="zh-CN" w:bidi="zh-CN"/>
              </w:rPr>
            </w:pPr>
          </w:p>
        </w:tc>
        <w:tc>
          <w:tcPr>
            <w:tcW w:w="1241" w:type="dxa"/>
            <w:tcBorders>
              <w:right w:val="single" w:color="auto" w:sz="4" w:space="0"/>
            </w:tcBorders>
            <w:noWrap w:val="0"/>
            <w:vAlign w:val="center"/>
          </w:tcPr>
          <w:p w14:paraId="2D646B43">
            <w:pPr>
              <w:autoSpaceDE w:val="0"/>
              <w:autoSpaceDN w:val="0"/>
              <w:jc w:val="center"/>
              <w:rPr>
                <w:rFonts w:hint="eastAsia" w:ascii="宋体" w:hAnsi="宋体" w:eastAsia="宋体" w:cs="宋体"/>
                <w:color w:val="auto"/>
                <w:sz w:val="24"/>
                <w:highlight w:val="none"/>
                <w:lang w:val="zh-CN" w:bidi="zh-CN"/>
              </w:rPr>
            </w:pPr>
          </w:p>
        </w:tc>
        <w:tc>
          <w:tcPr>
            <w:tcW w:w="1241" w:type="dxa"/>
            <w:tcBorders>
              <w:left w:val="single" w:color="auto" w:sz="4" w:space="0"/>
            </w:tcBorders>
            <w:noWrap w:val="0"/>
            <w:vAlign w:val="center"/>
          </w:tcPr>
          <w:p w14:paraId="14B3FC57">
            <w:pPr>
              <w:autoSpaceDE w:val="0"/>
              <w:autoSpaceDN w:val="0"/>
              <w:jc w:val="center"/>
              <w:rPr>
                <w:rFonts w:hint="eastAsia" w:ascii="宋体" w:hAnsi="宋体" w:eastAsia="宋体" w:cs="宋体"/>
                <w:color w:val="auto"/>
                <w:sz w:val="24"/>
                <w:highlight w:val="none"/>
                <w:lang w:val="zh-CN" w:bidi="zh-CN"/>
              </w:rPr>
            </w:pPr>
          </w:p>
        </w:tc>
        <w:tc>
          <w:tcPr>
            <w:tcW w:w="1247" w:type="dxa"/>
            <w:noWrap w:val="0"/>
            <w:vAlign w:val="center"/>
          </w:tcPr>
          <w:p w14:paraId="147BCA98">
            <w:pPr>
              <w:autoSpaceDE w:val="0"/>
              <w:autoSpaceDN w:val="0"/>
              <w:jc w:val="center"/>
              <w:rPr>
                <w:rFonts w:hint="eastAsia" w:ascii="宋体" w:hAnsi="宋体" w:eastAsia="宋体" w:cs="宋体"/>
                <w:color w:val="auto"/>
                <w:sz w:val="24"/>
                <w:highlight w:val="none"/>
                <w:lang w:val="zh-CN" w:bidi="zh-CN"/>
              </w:rPr>
            </w:pPr>
          </w:p>
        </w:tc>
      </w:tr>
      <w:tr w14:paraId="7C5CB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jc w:val="center"/>
        </w:trPr>
        <w:tc>
          <w:tcPr>
            <w:tcW w:w="723" w:type="dxa"/>
            <w:noWrap w:val="0"/>
            <w:vAlign w:val="center"/>
          </w:tcPr>
          <w:p w14:paraId="5384D1C0">
            <w:pPr>
              <w:autoSpaceDE w:val="0"/>
              <w:autoSpaceDN w:val="0"/>
              <w:ind w:left="8"/>
              <w:jc w:val="center"/>
              <w:rPr>
                <w:rFonts w:hint="eastAsia" w:ascii="宋体" w:hAnsi="宋体" w:eastAsia="宋体" w:cs="宋体"/>
                <w:color w:val="auto"/>
                <w:sz w:val="24"/>
                <w:highlight w:val="none"/>
                <w:lang w:val="zh-CN" w:bidi="zh-CN"/>
              </w:rPr>
            </w:pPr>
            <w:r>
              <w:rPr>
                <w:rFonts w:hint="eastAsia" w:ascii="宋体" w:hAnsi="宋体" w:eastAsia="宋体" w:cs="宋体"/>
                <w:color w:val="auto"/>
                <w:sz w:val="24"/>
                <w:highlight w:val="none"/>
                <w:lang w:val="zh-CN" w:bidi="zh-CN"/>
              </w:rPr>
              <w:t>4</w:t>
            </w:r>
          </w:p>
        </w:tc>
        <w:tc>
          <w:tcPr>
            <w:tcW w:w="1241" w:type="dxa"/>
            <w:noWrap w:val="0"/>
            <w:vAlign w:val="center"/>
          </w:tcPr>
          <w:p w14:paraId="7780C0C8">
            <w:pPr>
              <w:autoSpaceDE w:val="0"/>
              <w:autoSpaceDN w:val="0"/>
              <w:jc w:val="center"/>
              <w:rPr>
                <w:rFonts w:hint="eastAsia" w:ascii="宋体" w:hAnsi="宋体" w:eastAsia="宋体" w:cs="宋体"/>
                <w:color w:val="auto"/>
                <w:sz w:val="24"/>
                <w:highlight w:val="none"/>
                <w:lang w:val="zh-CN" w:bidi="zh-CN"/>
              </w:rPr>
            </w:pPr>
          </w:p>
        </w:tc>
        <w:tc>
          <w:tcPr>
            <w:tcW w:w="1241" w:type="dxa"/>
            <w:noWrap w:val="0"/>
            <w:vAlign w:val="center"/>
          </w:tcPr>
          <w:p w14:paraId="37337959">
            <w:pPr>
              <w:autoSpaceDE w:val="0"/>
              <w:autoSpaceDN w:val="0"/>
              <w:jc w:val="center"/>
              <w:rPr>
                <w:rFonts w:hint="eastAsia" w:ascii="宋体" w:hAnsi="宋体" w:eastAsia="宋体" w:cs="宋体"/>
                <w:color w:val="auto"/>
                <w:sz w:val="24"/>
                <w:highlight w:val="none"/>
                <w:lang w:val="zh-CN" w:bidi="zh-CN"/>
              </w:rPr>
            </w:pPr>
          </w:p>
        </w:tc>
        <w:tc>
          <w:tcPr>
            <w:tcW w:w="1241" w:type="dxa"/>
            <w:noWrap w:val="0"/>
            <w:vAlign w:val="center"/>
          </w:tcPr>
          <w:p w14:paraId="68FF07E5">
            <w:pPr>
              <w:autoSpaceDE w:val="0"/>
              <w:autoSpaceDN w:val="0"/>
              <w:jc w:val="center"/>
              <w:rPr>
                <w:rFonts w:hint="eastAsia" w:ascii="宋体" w:hAnsi="宋体" w:eastAsia="宋体" w:cs="宋体"/>
                <w:color w:val="auto"/>
                <w:sz w:val="24"/>
                <w:highlight w:val="none"/>
                <w:lang w:val="zh-CN" w:bidi="zh-CN"/>
              </w:rPr>
            </w:pPr>
          </w:p>
        </w:tc>
        <w:tc>
          <w:tcPr>
            <w:tcW w:w="1241" w:type="dxa"/>
            <w:noWrap w:val="0"/>
            <w:vAlign w:val="center"/>
          </w:tcPr>
          <w:p w14:paraId="50F68ADA">
            <w:pPr>
              <w:autoSpaceDE w:val="0"/>
              <w:autoSpaceDN w:val="0"/>
              <w:jc w:val="center"/>
              <w:rPr>
                <w:rFonts w:hint="eastAsia" w:ascii="宋体" w:hAnsi="宋体" w:eastAsia="宋体" w:cs="宋体"/>
                <w:color w:val="auto"/>
                <w:sz w:val="24"/>
                <w:highlight w:val="none"/>
                <w:lang w:val="zh-CN" w:bidi="zh-CN"/>
              </w:rPr>
            </w:pPr>
          </w:p>
        </w:tc>
        <w:tc>
          <w:tcPr>
            <w:tcW w:w="1241" w:type="dxa"/>
            <w:tcBorders>
              <w:right w:val="single" w:color="auto" w:sz="4" w:space="0"/>
            </w:tcBorders>
            <w:noWrap w:val="0"/>
            <w:vAlign w:val="center"/>
          </w:tcPr>
          <w:p w14:paraId="259436E2">
            <w:pPr>
              <w:autoSpaceDE w:val="0"/>
              <w:autoSpaceDN w:val="0"/>
              <w:jc w:val="center"/>
              <w:rPr>
                <w:rFonts w:hint="eastAsia" w:ascii="宋体" w:hAnsi="宋体" w:eastAsia="宋体" w:cs="宋体"/>
                <w:color w:val="auto"/>
                <w:sz w:val="24"/>
                <w:highlight w:val="none"/>
                <w:lang w:val="zh-CN" w:bidi="zh-CN"/>
              </w:rPr>
            </w:pPr>
          </w:p>
        </w:tc>
        <w:tc>
          <w:tcPr>
            <w:tcW w:w="1241" w:type="dxa"/>
            <w:tcBorders>
              <w:left w:val="single" w:color="auto" w:sz="4" w:space="0"/>
            </w:tcBorders>
            <w:noWrap w:val="0"/>
            <w:vAlign w:val="center"/>
          </w:tcPr>
          <w:p w14:paraId="5B796AD8">
            <w:pPr>
              <w:autoSpaceDE w:val="0"/>
              <w:autoSpaceDN w:val="0"/>
              <w:jc w:val="center"/>
              <w:rPr>
                <w:rFonts w:hint="eastAsia" w:ascii="宋体" w:hAnsi="宋体" w:eastAsia="宋体" w:cs="宋体"/>
                <w:color w:val="auto"/>
                <w:sz w:val="24"/>
                <w:highlight w:val="none"/>
                <w:lang w:val="zh-CN" w:bidi="zh-CN"/>
              </w:rPr>
            </w:pPr>
          </w:p>
        </w:tc>
        <w:tc>
          <w:tcPr>
            <w:tcW w:w="1247" w:type="dxa"/>
            <w:noWrap w:val="0"/>
            <w:vAlign w:val="center"/>
          </w:tcPr>
          <w:p w14:paraId="5E370186">
            <w:pPr>
              <w:autoSpaceDE w:val="0"/>
              <w:autoSpaceDN w:val="0"/>
              <w:jc w:val="center"/>
              <w:rPr>
                <w:rFonts w:hint="eastAsia" w:ascii="宋体" w:hAnsi="宋体" w:eastAsia="宋体" w:cs="宋体"/>
                <w:color w:val="auto"/>
                <w:sz w:val="24"/>
                <w:highlight w:val="none"/>
                <w:lang w:val="zh-CN" w:bidi="zh-CN"/>
              </w:rPr>
            </w:pPr>
          </w:p>
        </w:tc>
      </w:tr>
      <w:tr w14:paraId="5FE88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jc w:val="center"/>
        </w:trPr>
        <w:tc>
          <w:tcPr>
            <w:tcW w:w="723" w:type="dxa"/>
            <w:noWrap w:val="0"/>
            <w:vAlign w:val="center"/>
          </w:tcPr>
          <w:p w14:paraId="61E98A9E">
            <w:pPr>
              <w:autoSpaceDE w:val="0"/>
              <w:autoSpaceDN w:val="0"/>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w:t>
            </w:r>
          </w:p>
        </w:tc>
        <w:tc>
          <w:tcPr>
            <w:tcW w:w="1241" w:type="dxa"/>
            <w:noWrap w:val="0"/>
            <w:vAlign w:val="center"/>
          </w:tcPr>
          <w:p w14:paraId="137CE340">
            <w:pPr>
              <w:autoSpaceDE w:val="0"/>
              <w:autoSpaceDN w:val="0"/>
              <w:jc w:val="center"/>
              <w:rPr>
                <w:rFonts w:hint="eastAsia" w:ascii="宋体" w:hAnsi="宋体" w:eastAsia="宋体" w:cs="宋体"/>
                <w:color w:val="auto"/>
                <w:sz w:val="24"/>
                <w:highlight w:val="none"/>
                <w:lang w:val="zh-CN" w:bidi="zh-CN"/>
              </w:rPr>
            </w:pPr>
          </w:p>
        </w:tc>
        <w:tc>
          <w:tcPr>
            <w:tcW w:w="1241" w:type="dxa"/>
            <w:noWrap w:val="0"/>
            <w:vAlign w:val="center"/>
          </w:tcPr>
          <w:p w14:paraId="4F220AC9">
            <w:pPr>
              <w:autoSpaceDE w:val="0"/>
              <w:autoSpaceDN w:val="0"/>
              <w:jc w:val="center"/>
              <w:rPr>
                <w:rFonts w:hint="eastAsia" w:ascii="宋体" w:hAnsi="宋体" w:eastAsia="宋体" w:cs="宋体"/>
                <w:color w:val="auto"/>
                <w:sz w:val="24"/>
                <w:highlight w:val="none"/>
                <w:lang w:val="zh-CN" w:bidi="zh-CN"/>
              </w:rPr>
            </w:pPr>
          </w:p>
        </w:tc>
        <w:tc>
          <w:tcPr>
            <w:tcW w:w="1241" w:type="dxa"/>
            <w:noWrap w:val="0"/>
            <w:vAlign w:val="center"/>
          </w:tcPr>
          <w:p w14:paraId="7035C304">
            <w:pPr>
              <w:autoSpaceDE w:val="0"/>
              <w:autoSpaceDN w:val="0"/>
              <w:jc w:val="center"/>
              <w:rPr>
                <w:rFonts w:hint="eastAsia" w:ascii="宋体" w:hAnsi="宋体" w:eastAsia="宋体" w:cs="宋体"/>
                <w:color w:val="auto"/>
                <w:sz w:val="24"/>
                <w:highlight w:val="none"/>
                <w:lang w:val="zh-CN" w:bidi="zh-CN"/>
              </w:rPr>
            </w:pPr>
          </w:p>
        </w:tc>
        <w:tc>
          <w:tcPr>
            <w:tcW w:w="1241" w:type="dxa"/>
            <w:tcBorders>
              <w:right w:val="single" w:color="auto" w:sz="4" w:space="0"/>
            </w:tcBorders>
            <w:noWrap w:val="0"/>
            <w:vAlign w:val="center"/>
          </w:tcPr>
          <w:p w14:paraId="5EA0C8AE">
            <w:pPr>
              <w:autoSpaceDE w:val="0"/>
              <w:autoSpaceDN w:val="0"/>
              <w:jc w:val="center"/>
              <w:rPr>
                <w:rFonts w:hint="eastAsia" w:ascii="宋体" w:hAnsi="宋体" w:eastAsia="宋体" w:cs="宋体"/>
                <w:color w:val="auto"/>
                <w:sz w:val="24"/>
                <w:highlight w:val="none"/>
                <w:lang w:val="zh-CN" w:bidi="zh-CN"/>
              </w:rPr>
            </w:pPr>
          </w:p>
        </w:tc>
        <w:tc>
          <w:tcPr>
            <w:tcW w:w="1241" w:type="dxa"/>
            <w:tcBorders>
              <w:left w:val="single" w:color="auto" w:sz="4" w:space="0"/>
              <w:right w:val="single" w:color="auto" w:sz="4" w:space="0"/>
            </w:tcBorders>
            <w:noWrap w:val="0"/>
            <w:vAlign w:val="center"/>
          </w:tcPr>
          <w:p w14:paraId="2315A6C5">
            <w:pPr>
              <w:autoSpaceDE w:val="0"/>
              <w:autoSpaceDN w:val="0"/>
              <w:jc w:val="center"/>
              <w:rPr>
                <w:rFonts w:hint="eastAsia" w:ascii="宋体" w:hAnsi="宋体" w:eastAsia="宋体" w:cs="宋体"/>
                <w:color w:val="auto"/>
                <w:sz w:val="24"/>
                <w:highlight w:val="none"/>
                <w:lang w:val="zh-CN" w:bidi="zh-CN"/>
              </w:rPr>
            </w:pPr>
          </w:p>
        </w:tc>
        <w:tc>
          <w:tcPr>
            <w:tcW w:w="1241" w:type="dxa"/>
            <w:tcBorders>
              <w:left w:val="single" w:color="auto" w:sz="4" w:space="0"/>
              <w:right w:val="single" w:color="auto" w:sz="4" w:space="0"/>
            </w:tcBorders>
            <w:noWrap w:val="0"/>
            <w:vAlign w:val="center"/>
          </w:tcPr>
          <w:p w14:paraId="467644FB">
            <w:pPr>
              <w:autoSpaceDE w:val="0"/>
              <w:autoSpaceDN w:val="0"/>
              <w:jc w:val="center"/>
              <w:rPr>
                <w:rFonts w:hint="eastAsia" w:ascii="宋体" w:hAnsi="宋体" w:eastAsia="宋体" w:cs="宋体"/>
                <w:color w:val="auto"/>
                <w:sz w:val="24"/>
                <w:highlight w:val="none"/>
                <w:lang w:val="zh-CN" w:bidi="zh-CN"/>
              </w:rPr>
            </w:pPr>
          </w:p>
        </w:tc>
        <w:tc>
          <w:tcPr>
            <w:tcW w:w="1247" w:type="dxa"/>
            <w:tcBorders>
              <w:left w:val="single" w:color="auto" w:sz="4" w:space="0"/>
            </w:tcBorders>
            <w:noWrap w:val="0"/>
            <w:vAlign w:val="center"/>
          </w:tcPr>
          <w:p w14:paraId="7EA37464">
            <w:pPr>
              <w:autoSpaceDE w:val="0"/>
              <w:autoSpaceDN w:val="0"/>
              <w:jc w:val="center"/>
              <w:rPr>
                <w:rFonts w:hint="eastAsia" w:ascii="宋体" w:hAnsi="宋体" w:eastAsia="宋体" w:cs="宋体"/>
                <w:color w:val="auto"/>
                <w:sz w:val="24"/>
                <w:highlight w:val="none"/>
                <w:lang w:val="zh-CN" w:bidi="zh-CN"/>
              </w:rPr>
            </w:pPr>
          </w:p>
        </w:tc>
      </w:tr>
      <w:tr w14:paraId="39B90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jc w:val="center"/>
        </w:trPr>
        <w:tc>
          <w:tcPr>
            <w:tcW w:w="723" w:type="dxa"/>
            <w:tcBorders>
              <w:right w:val="single" w:color="auto" w:sz="4" w:space="0"/>
            </w:tcBorders>
            <w:noWrap w:val="0"/>
            <w:vAlign w:val="center"/>
          </w:tcPr>
          <w:p w14:paraId="0490BD7F">
            <w:pPr>
              <w:autoSpaceDE w:val="0"/>
              <w:autoSpaceDN w:val="0"/>
              <w:jc w:val="cente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合计</w:t>
            </w:r>
          </w:p>
        </w:tc>
        <w:tc>
          <w:tcPr>
            <w:tcW w:w="8693" w:type="dxa"/>
            <w:gridSpan w:val="7"/>
            <w:tcBorders>
              <w:left w:val="single" w:color="auto" w:sz="4" w:space="0"/>
            </w:tcBorders>
            <w:noWrap w:val="0"/>
            <w:vAlign w:val="center"/>
          </w:tcPr>
          <w:p w14:paraId="56FD26DB">
            <w:pPr>
              <w:autoSpaceDE w:val="0"/>
              <w:autoSpaceDN w:val="0"/>
              <w:jc w:val="center"/>
              <w:rPr>
                <w:rFonts w:hint="eastAsia" w:ascii="宋体" w:hAnsi="宋体" w:eastAsia="宋体" w:cs="宋体"/>
                <w:color w:val="auto"/>
                <w:sz w:val="24"/>
                <w:highlight w:val="none"/>
                <w:lang w:val="zh-CN" w:bidi="zh-CN"/>
              </w:rPr>
            </w:pPr>
          </w:p>
        </w:tc>
      </w:tr>
    </w:tbl>
    <w:p w14:paraId="576E9EFB">
      <w:pPr>
        <w:snapToGrid w:val="0"/>
        <w:spacing w:line="360" w:lineRule="auto"/>
        <w:rPr>
          <w:rFonts w:hint="eastAsia" w:ascii="宋体" w:hAnsi="宋体" w:eastAsia="宋体" w:cs="宋体"/>
          <w:b/>
          <w:color w:val="auto"/>
          <w:kern w:val="0"/>
          <w:sz w:val="24"/>
          <w:highlight w:val="none"/>
        </w:rPr>
      </w:pPr>
      <w:r>
        <w:rPr>
          <w:rStyle w:val="323"/>
          <w:rFonts w:hint="eastAsia" w:ascii="宋体" w:hAnsi="宋体" w:eastAsia="宋体" w:cs="宋体"/>
          <w:color w:val="auto"/>
          <w:sz w:val="24"/>
          <w:highlight w:val="none"/>
          <w:lang w:val="en-US" w:eastAsia="zh-CN"/>
        </w:rPr>
        <w:t xml:space="preserve"> </w:t>
      </w:r>
      <w:r>
        <w:rPr>
          <w:rFonts w:hint="eastAsia" w:ascii="宋体" w:hAnsi="宋体" w:eastAsia="宋体" w:cs="宋体"/>
          <w:b/>
          <w:color w:val="auto"/>
          <w:kern w:val="0"/>
          <w:sz w:val="24"/>
          <w:highlight w:val="none"/>
          <w:lang w:val="zh-CN"/>
        </w:rPr>
        <w:t>注：1.供应商须</w:t>
      </w:r>
      <w:r>
        <w:rPr>
          <w:rFonts w:hint="eastAsia" w:ascii="宋体" w:hAnsi="宋体" w:eastAsia="宋体" w:cs="宋体"/>
          <w:b/>
          <w:color w:val="auto"/>
          <w:kern w:val="0"/>
          <w:sz w:val="24"/>
          <w:highlight w:val="none"/>
        </w:rPr>
        <w:t>按实填写</w:t>
      </w:r>
      <w:r>
        <w:rPr>
          <w:rFonts w:hint="eastAsia" w:ascii="宋体" w:hAnsi="宋体" w:eastAsia="宋体" w:cs="宋体"/>
          <w:b/>
          <w:color w:val="auto"/>
          <w:kern w:val="0"/>
          <w:sz w:val="24"/>
          <w:highlight w:val="none"/>
          <w:lang w:val="zh-CN"/>
        </w:rPr>
        <w:t>各个子项</w:t>
      </w:r>
      <w:r>
        <w:rPr>
          <w:rFonts w:hint="eastAsia" w:ascii="宋体" w:hAnsi="宋体" w:eastAsia="宋体" w:cs="宋体"/>
          <w:b/>
          <w:color w:val="auto"/>
          <w:kern w:val="0"/>
          <w:sz w:val="24"/>
          <w:highlight w:val="none"/>
        </w:rPr>
        <w:t>中的内容，</w:t>
      </w:r>
      <w:r>
        <w:rPr>
          <w:rFonts w:hint="eastAsia" w:ascii="宋体" w:hAnsi="宋体" w:eastAsia="宋体" w:cs="宋体"/>
          <w:b/>
          <w:color w:val="auto"/>
          <w:kern w:val="0"/>
          <w:sz w:val="24"/>
          <w:highlight w:val="none"/>
          <w:lang w:val="zh-CN"/>
        </w:rPr>
        <w:t>且本表各分项报价合计应当与磋商报价表报价合计相等。</w:t>
      </w:r>
      <w:r>
        <w:rPr>
          <w:rFonts w:hint="eastAsia" w:ascii="宋体" w:hAnsi="宋体" w:eastAsia="宋体" w:cs="宋体"/>
          <w:b/>
          <w:color w:val="auto"/>
          <w:kern w:val="0"/>
          <w:sz w:val="24"/>
          <w:highlight w:val="none"/>
        </w:rPr>
        <w:t>请各供应商务必按照以上要求填报，否则作为无效响应处理。</w:t>
      </w:r>
    </w:p>
    <w:p w14:paraId="25C216B4">
      <w:pPr>
        <w:snapToGrid w:val="0"/>
        <w:spacing w:line="360" w:lineRule="auto"/>
        <w:ind w:firstLine="482" w:firstLineChars="200"/>
        <w:rPr>
          <w:rFonts w:hint="eastAsia" w:ascii="宋体" w:hAnsi="宋体" w:eastAsia="宋体" w:cs="宋体"/>
          <w:b/>
          <w:color w:val="auto"/>
          <w:kern w:val="0"/>
          <w:sz w:val="28"/>
          <w:szCs w:val="28"/>
          <w:highlight w:val="none"/>
          <w:lang w:val="zh-CN"/>
        </w:rPr>
      </w:pPr>
      <w:r>
        <w:rPr>
          <w:rFonts w:hint="eastAsia" w:ascii="宋体" w:hAnsi="宋体" w:eastAsia="宋体" w:cs="宋体"/>
          <w:b/>
          <w:color w:val="auto"/>
          <w:kern w:val="0"/>
          <w:sz w:val="24"/>
          <w:highlight w:val="none"/>
        </w:rPr>
        <w:t>2.主要标的信息</w:t>
      </w:r>
      <w:r>
        <w:rPr>
          <w:rFonts w:hint="eastAsia" w:ascii="宋体" w:hAnsi="宋体" w:eastAsia="宋体" w:cs="宋体"/>
          <w:b/>
          <w:color w:val="auto"/>
          <w:kern w:val="0"/>
          <w:sz w:val="24"/>
          <w:highlight w:val="none"/>
          <w:lang w:val="zh-CN"/>
        </w:rPr>
        <w:t>将随中标（成交）结果公告进行公示。内容不实的，属于提供虚假材料谋取中标、成交，依照《中华人民共和</w:t>
      </w:r>
      <w:r>
        <w:rPr>
          <w:rFonts w:hint="eastAsia" w:ascii="宋体" w:hAnsi="宋体" w:eastAsia="宋体" w:cs="宋体"/>
          <w:b/>
          <w:color w:val="auto"/>
          <w:kern w:val="0"/>
          <w:sz w:val="24"/>
          <w:highlight w:val="none"/>
        </w:rPr>
        <w:t>国政府采购法》等国家有关规定追究相应责</w:t>
      </w:r>
      <w:r>
        <w:rPr>
          <w:rFonts w:hint="eastAsia" w:ascii="宋体" w:hAnsi="宋体" w:eastAsia="宋体" w:cs="宋体"/>
          <w:b/>
          <w:color w:val="auto"/>
          <w:kern w:val="0"/>
          <w:sz w:val="24"/>
          <w:highlight w:val="none"/>
          <w:lang w:val="zh-CN"/>
        </w:rPr>
        <w:t>任。</w:t>
      </w:r>
    </w:p>
    <w:p w14:paraId="53C84879">
      <w:pPr>
        <w:rPr>
          <w:rFonts w:hint="eastAsia" w:ascii="宋体" w:hAnsi="宋体" w:eastAsia="宋体" w:cs="宋体"/>
          <w:color w:val="auto"/>
          <w:sz w:val="24"/>
          <w:szCs w:val="24"/>
          <w:highlight w:val="none"/>
        </w:rPr>
      </w:pPr>
      <w:r>
        <w:rPr>
          <w:rStyle w:val="323"/>
          <w:rFonts w:hint="eastAsia" w:ascii="宋体" w:hAnsi="宋体" w:eastAsia="宋体" w:cs="宋体"/>
          <w:color w:val="auto"/>
          <w:sz w:val="24"/>
          <w:highlight w:val="none"/>
          <w:lang w:val="en-US" w:eastAsia="zh-CN"/>
        </w:rPr>
        <w:t xml:space="preserve">                                         </w:t>
      </w:r>
    </w:p>
    <w:p w14:paraId="44AC3731">
      <w:pP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br w:type="page"/>
      </w:r>
    </w:p>
    <w:p w14:paraId="260E36DF">
      <w:pPr>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技术部分正负偏离表</w:t>
      </w:r>
    </w:p>
    <w:p w14:paraId="0A31102C">
      <w:pPr>
        <w:pStyle w:val="2"/>
        <w:jc w:val="center"/>
        <w:rPr>
          <w:rFonts w:hint="eastAsia" w:ascii="宋体" w:hAnsi="宋体" w:eastAsia="宋体" w:cs="宋体"/>
          <w:color w:val="auto"/>
          <w:highlight w:val="none"/>
        </w:rPr>
      </w:pPr>
      <w:r>
        <w:rPr>
          <w:rFonts w:hint="eastAsia" w:ascii="宋体" w:hAnsi="宋体" w:eastAsia="宋体" w:cs="宋体"/>
          <w:color w:val="auto"/>
          <w:sz w:val="28"/>
          <w:szCs w:val="28"/>
          <w:highlight w:val="none"/>
        </w:rPr>
        <w:t>（由供应商据实填写，表格不够自行添加）</w:t>
      </w:r>
    </w:p>
    <w:tbl>
      <w:tblPr>
        <w:tblStyle w:val="34"/>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95"/>
        <w:gridCol w:w="2443"/>
        <w:gridCol w:w="2133"/>
        <w:gridCol w:w="2753"/>
        <w:gridCol w:w="1516"/>
      </w:tblGrid>
      <w:tr w14:paraId="0ED4EF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994" w:hRule="atLeast"/>
        </w:trPr>
        <w:tc>
          <w:tcPr>
            <w:tcW w:w="460" w:type="dxa"/>
            <w:noWrap w:val="0"/>
            <w:vAlign w:val="center"/>
          </w:tcPr>
          <w:p w14:paraId="11426899">
            <w:pPr>
              <w:spacing w:line="340" w:lineRule="exact"/>
              <w:jc w:val="center"/>
              <w:rPr>
                <w:rFonts w:ascii="宋体" w:hAnsi="宋体"/>
                <w:color w:val="auto"/>
                <w:sz w:val="24"/>
                <w:highlight w:val="none"/>
              </w:rPr>
            </w:pPr>
            <w:r>
              <w:rPr>
                <w:rFonts w:hint="eastAsia" w:ascii="宋体" w:hAnsi="宋体"/>
                <w:color w:val="auto"/>
                <w:sz w:val="24"/>
                <w:highlight w:val="none"/>
              </w:rPr>
              <w:t>序号</w:t>
            </w:r>
          </w:p>
        </w:tc>
        <w:tc>
          <w:tcPr>
            <w:tcW w:w="1254" w:type="dxa"/>
            <w:noWrap w:val="0"/>
            <w:vAlign w:val="center"/>
          </w:tcPr>
          <w:p w14:paraId="725D0545">
            <w:pPr>
              <w:spacing w:line="340" w:lineRule="exact"/>
              <w:jc w:val="center"/>
              <w:rPr>
                <w:rFonts w:ascii="宋体" w:hAnsi="宋体"/>
                <w:color w:val="auto"/>
                <w:sz w:val="24"/>
                <w:highlight w:val="none"/>
              </w:rPr>
            </w:pPr>
            <w:r>
              <w:rPr>
                <w:rFonts w:hint="eastAsia" w:ascii="宋体" w:hAnsi="宋体"/>
                <w:color w:val="auto"/>
                <w:sz w:val="24"/>
                <w:highlight w:val="none"/>
              </w:rPr>
              <w:t>货物或服务名称</w:t>
            </w:r>
          </w:p>
        </w:tc>
        <w:tc>
          <w:tcPr>
            <w:tcW w:w="1095" w:type="dxa"/>
            <w:noWrap w:val="0"/>
            <w:vAlign w:val="center"/>
          </w:tcPr>
          <w:p w14:paraId="069D3323">
            <w:pPr>
              <w:spacing w:line="340" w:lineRule="exact"/>
              <w:jc w:val="center"/>
              <w:rPr>
                <w:rFonts w:ascii="宋体" w:hAnsi="宋体"/>
                <w:color w:val="auto"/>
                <w:sz w:val="24"/>
                <w:highlight w:val="none"/>
              </w:rPr>
            </w:pPr>
            <w:r>
              <w:rPr>
                <w:rFonts w:hint="eastAsia" w:ascii="宋体" w:hAnsi="宋体"/>
                <w:color w:val="auto"/>
                <w:sz w:val="24"/>
                <w:highlight w:val="none"/>
              </w:rPr>
              <w:t>磋商文件要求的技术要求</w:t>
            </w:r>
          </w:p>
        </w:tc>
        <w:tc>
          <w:tcPr>
            <w:tcW w:w="1413" w:type="dxa"/>
            <w:noWrap w:val="0"/>
            <w:vAlign w:val="center"/>
          </w:tcPr>
          <w:p w14:paraId="6D84D2BD">
            <w:pPr>
              <w:spacing w:line="340" w:lineRule="exact"/>
              <w:jc w:val="center"/>
              <w:rPr>
                <w:rFonts w:ascii="宋体" w:hAnsi="宋体"/>
                <w:color w:val="auto"/>
                <w:sz w:val="24"/>
                <w:highlight w:val="none"/>
              </w:rPr>
            </w:pPr>
            <w:r>
              <w:rPr>
                <w:rFonts w:hint="eastAsia" w:ascii="宋体" w:hAnsi="宋体"/>
                <w:color w:val="auto"/>
                <w:sz w:val="24"/>
                <w:highlight w:val="none"/>
              </w:rPr>
              <w:t>响应文件响应情况</w:t>
            </w:r>
          </w:p>
        </w:tc>
        <w:tc>
          <w:tcPr>
            <w:tcW w:w="778" w:type="dxa"/>
            <w:noWrap w:val="0"/>
            <w:vAlign w:val="top"/>
          </w:tcPr>
          <w:p w14:paraId="5D56EBE4">
            <w:pPr>
              <w:spacing w:line="340" w:lineRule="exact"/>
              <w:jc w:val="center"/>
              <w:rPr>
                <w:rFonts w:ascii="宋体" w:hAnsi="宋体"/>
                <w:color w:val="auto"/>
                <w:sz w:val="24"/>
                <w:highlight w:val="none"/>
              </w:rPr>
            </w:pPr>
          </w:p>
          <w:p w14:paraId="01683C8A">
            <w:pPr>
              <w:spacing w:line="340" w:lineRule="exact"/>
              <w:jc w:val="center"/>
              <w:rPr>
                <w:rFonts w:ascii="宋体" w:hAnsi="宋体"/>
                <w:color w:val="auto"/>
                <w:sz w:val="24"/>
                <w:highlight w:val="none"/>
              </w:rPr>
            </w:pPr>
            <w:r>
              <w:rPr>
                <w:rFonts w:hint="eastAsia" w:ascii="宋体" w:hAnsi="宋体"/>
                <w:color w:val="auto"/>
                <w:sz w:val="24"/>
                <w:highlight w:val="none"/>
              </w:rPr>
              <w:t>偏离说明</w:t>
            </w:r>
          </w:p>
        </w:tc>
      </w:tr>
      <w:tr w14:paraId="363AC0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noWrap w:val="0"/>
            <w:vAlign w:val="top"/>
          </w:tcPr>
          <w:p w14:paraId="4B0A2D4D">
            <w:pPr>
              <w:spacing w:line="340" w:lineRule="exact"/>
              <w:jc w:val="center"/>
              <w:rPr>
                <w:rFonts w:ascii="宋体" w:hAnsi="宋体"/>
                <w:color w:val="auto"/>
                <w:sz w:val="24"/>
                <w:highlight w:val="none"/>
              </w:rPr>
            </w:pPr>
            <w:r>
              <w:rPr>
                <w:rFonts w:hint="eastAsia" w:ascii="宋体" w:hAnsi="宋体"/>
                <w:color w:val="auto"/>
                <w:sz w:val="24"/>
                <w:highlight w:val="none"/>
              </w:rPr>
              <w:t>1</w:t>
            </w:r>
          </w:p>
        </w:tc>
        <w:tc>
          <w:tcPr>
            <w:tcW w:w="1254" w:type="dxa"/>
            <w:noWrap w:val="0"/>
            <w:vAlign w:val="center"/>
          </w:tcPr>
          <w:p w14:paraId="5C48F6B9">
            <w:pPr>
              <w:spacing w:line="340" w:lineRule="exact"/>
              <w:jc w:val="left"/>
              <w:rPr>
                <w:rFonts w:ascii="宋体" w:hAnsi="宋体"/>
                <w:color w:val="auto"/>
                <w:sz w:val="24"/>
                <w:highlight w:val="none"/>
              </w:rPr>
            </w:pPr>
          </w:p>
        </w:tc>
        <w:tc>
          <w:tcPr>
            <w:tcW w:w="1095" w:type="dxa"/>
            <w:noWrap w:val="0"/>
            <w:vAlign w:val="center"/>
          </w:tcPr>
          <w:p w14:paraId="2AA7BDB5">
            <w:pPr>
              <w:spacing w:line="340" w:lineRule="exact"/>
              <w:jc w:val="left"/>
              <w:rPr>
                <w:rFonts w:ascii="宋体" w:hAnsi="宋体"/>
                <w:color w:val="auto"/>
                <w:sz w:val="24"/>
                <w:highlight w:val="none"/>
              </w:rPr>
            </w:pPr>
          </w:p>
        </w:tc>
        <w:tc>
          <w:tcPr>
            <w:tcW w:w="1413" w:type="dxa"/>
            <w:noWrap w:val="0"/>
            <w:vAlign w:val="center"/>
          </w:tcPr>
          <w:p w14:paraId="4F673507">
            <w:pPr>
              <w:spacing w:line="340" w:lineRule="exact"/>
              <w:jc w:val="left"/>
              <w:rPr>
                <w:color w:val="auto"/>
                <w:sz w:val="24"/>
                <w:highlight w:val="none"/>
              </w:rPr>
            </w:pPr>
          </w:p>
        </w:tc>
        <w:tc>
          <w:tcPr>
            <w:tcW w:w="778" w:type="dxa"/>
            <w:noWrap w:val="0"/>
            <w:vAlign w:val="top"/>
          </w:tcPr>
          <w:p w14:paraId="64776418">
            <w:pPr>
              <w:spacing w:line="340" w:lineRule="exact"/>
              <w:jc w:val="left"/>
              <w:rPr>
                <w:color w:val="auto"/>
                <w:sz w:val="24"/>
                <w:highlight w:val="none"/>
              </w:rPr>
            </w:pPr>
          </w:p>
        </w:tc>
      </w:tr>
      <w:tr w14:paraId="7BFD1D8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noWrap w:val="0"/>
            <w:vAlign w:val="top"/>
          </w:tcPr>
          <w:p w14:paraId="2D10B2E0">
            <w:pPr>
              <w:spacing w:line="340" w:lineRule="exact"/>
              <w:jc w:val="center"/>
              <w:rPr>
                <w:rFonts w:ascii="宋体" w:hAnsi="宋体"/>
                <w:color w:val="auto"/>
                <w:sz w:val="24"/>
                <w:highlight w:val="none"/>
              </w:rPr>
            </w:pPr>
            <w:r>
              <w:rPr>
                <w:rFonts w:hint="eastAsia" w:ascii="宋体" w:hAnsi="宋体"/>
                <w:color w:val="auto"/>
                <w:sz w:val="24"/>
                <w:highlight w:val="none"/>
              </w:rPr>
              <w:t>2</w:t>
            </w:r>
          </w:p>
        </w:tc>
        <w:tc>
          <w:tcPr>
            <w:tcW w:w="1254" w:type="dxa"/>
            <w:noWrap w:val="0"/>
            <w:vAlign w:val="center"/>
          </w:tcPr>
          <w:p w14:paraId="1A49BD85">
            <w:pPr>
              <w:spacing w:line="340" w:lineRule="exact"/>
              <w:jc w:val="left"/>
              <w:rPr>
                <w:rFonts w:ascii="宋体" w:hAnsi="宋体"/>
                <w:color w:val="auto"/>
                <w:sz w:val="24"/>
                <w:highlight w:val="none"/>
              </w:rPr>
            </w:pPr>
          </w:p>
        </w:tc>
        <w:tc>
          <w:tcPr>
            <w:tcW w:w="1095" w:type="dxa"/>
            <w:noWrap w:val="0"/>
            <w:vAlign w:val="center"/>
          </w:tcPr>
          <w:p w14:paraId="3B89606E">
            <w:pPr>
              <w:spacing w:line="340" w:lineRule="exact"/>
              <w:jc w:val="left"/>
              <w:rPr>
                <w:rFonts w:ascii="宋体" w:hAnsi="宋体"/>
                <w:color w:val="auto"/>
                <w:sz w:val="24"/>
                <w:highlight w:val="none"/>
              </w:rPr>
            </w:pPr>
          </w:p>
        </w:tc>
        <w:tc>
          <w:tcPr>
            <w:tcW w:w="1413" w:type="dxa"/>
            <w:noWrap w:val="0"/>
            <w:vAlign w:val="center"/>
          </w:tcPr>
          <w:p w14:paraId="1E033114">
            <w:pPr>
              <w:spacing w:line="340" w:lineRule="exact"/>
              <w:jc w:val="left"/>
              <w:rPr>
                <w:color w:val="auto"/>
                <w:sz w:val="24"/>
                <w:highlight w:val="none"/>
              </w:rPr>
            </w:pPr>
          </w:p>
        </w:tc>
        <w:tc>
          <w:tcPr>
            <w:tcW w:w="778" w:type="dxa"/>
            <w:noWrap w:val="0"/>
            <w:vAlign w:val="top"/>
          </w:tcPr>
          <w:p w14:paraId="4E7CFD75">
            <w:pPr>
              <w:spacing w:line="340" w:lineRule="exact"/>
              <w:jc w:val="left"/>
              <w:rPr>
                <w:color w:val="auto"/>
                <w:sz w:val="24"/>
                <w:highlight w:val="none"/>
              </w:rPr>
            </w:pPr>
          </w:p>
        </w:tc>
      </w:tr>
      <w:tr w14:paraId="2F514CC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noWrap w:val="0"/>
            <w:vAlign w:val="top"/>
          </w:tcPr>
          <w:p w14:paraId="0F6A9C5A">
            <w:pPr>
              <w:spacing w:line="340" w:lineRule="exact"/>
              <w:jc w:val="center"/>
              <w:rPr>
                <w:rFonts w:ascii="宋体" w:hAnsi="宋体"/>
                <w:color w:val="auto"/>
                <w:sz w:val="24"/>
                <w:highlight w:val="none"/>
              </w:rPr>
            </w:pPr>
            <w:r>
              <w:rPr>
                <w:rFonts w:hint="eastAsia" w:ascii="宋体" w:hAnsi="宋体"/>
                <w:color w:val="auto"/>
                <w:sz w:val="24"/>
                <w:highlight w:val="none"/>
              </w:rPr>
              <w:t>3</w:t>
            </w:r>
          </w:p>
        </w:tc>
        <w:tc>
          <w:tcPr>
            <w:tcW w:w="1254" w:type="dxa"/>
            <w:noWrap w:val="0"/>
            <w:vAlign w:val="center"/>
          </w:tcPr>
          <w:p w14:paraId="2009C4D5">
            <w:pPr>
              <w:spacing w:line="340" w:lineRule="exact"/>
              <w:jc w:val="left"/>
              <w:rPr>
                <w:rFonts w:ascii="宋体" w:hAnsi="宋体"/>
                <w:color w:val="auto"/>
                <w:sz w:val="24"/>
                <w:highlight w:val="none"/>
              </w:rPr>
            </w:pPr>
          </w:p>
        </w:tc>
        <w:tc>
          <w:tcPr>
            <w:tcW w:w="1095" w:type="dxa"/>
            <w:noWrap w:val="0"/>
            <w:vAlign w:val="center"/>
          </w:tcPr>
          <w:p w14:paraId="286C9773">
            <w:pPr>
              <w:spacing w:line="340" w:lineRule="exact"/>
              <w:jc w:val="left"/>
              <w:rPr>
                <w:color w:val="auto"/>
                <w:sz w:val="24"/>
                <w:highlight w:val="none"/>
              </w:rPr>
            </w:pPr>
          </w:p>
        </w:tc>
        <w:tc>
          <w:tcPr>
            <w:tcW w:w="1413" w:type="dxa"/>
            <w:noWrap w:val="0"/>
            <w:vAlign w:val="center"/>
          </w:tcPr>
          <w:p w14:paraId="3FF40E91">
            <w:pPr>
              <w:spacing w:line="340" w:lineRule="exact"/>
              <w:jc w:val="left"/>
              <w:rPr>
                <w:color w:val="auto"/>
                <w:sz w:val="24"/>
                <w:highlight w:val="none"/>
              </w:rPr>
            </w:pPr>
          </w:p>
        </w:tc>
        <w:tc>
          <w:tcPr>
            <w:tcW w:w="778" w:type="dxa"/>
            <w:noWrap w:val="0"/>
            <w:vAlign w:val="top"/>
          </w:tcPr>
          <w:p w14:paraId="17F0D104">
            <w:pPr>
              <w:spacing w:line="340" w:lineRule="exact"/>
              <w:jc w:val="left"/>
              <w:rPr>
                <w:color w:val="auto"/>
                <w:sz w:val="24"/>
                <w:highlight w:val="none"/>
              </w:rPr>
            </w:pPr>
          </w:p>
        </w:tc>
      </w:tr>
      <w:tr w14:paraId="69608C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noWrap w:val="0"/>
            <w:vAlign w:val="top"/>
          </w:tcPr>
          <w:p w14:paraId="55161532">
            <w:pPr>
              <w:spacing w:line="340" w:lineRule="exact"/>
              <w:jc w:val="center"/>
              <w:rPr>
                <w:rFonts w:ascii="宋体" w:hAnsi="宋体"/>
                <w:color w:val="auto"/>
                <w:sz w:val="24"/>
                <w:highlight w:val="none"/>
              </w:rPr>
            </w:pPr>
            <w:r>
              <w:rPr>
                <w:rFonts w:hint="eastAsia" w:ascii="宋体" w:hAnsi="宋体"/>
                <w:color w:val="auto"/>
                <w:sz w:val="24"/>
                <w:highlight w:val="none"/>
              </w:rPr>
              <w:t>4</w:t>
            </w:r>
          </w:p>
        </w:tc>
        <w:tc>
          <w:tcPr>
            <w:tcW w:w="1254" w:type="dxa"/>
            <w:noWrap w:val="0"/>
            <w:vAlign w:val="center"/>
          </w:tcPr>
          <w:p w14:paraId="12083054">
            <w:pPr>
              <w:spacing w:line="340" w:lineRule="exact"/>
              <w:jc w:val="left"/>
              <w:rPr>
                <w:rFonts w:ascii="宋体" w:hAnsi="宋体"/>
                <w:color w:val="auto"/>
                <w:sz w:val="24"/>
                <w:highlight w:val="none"/>
              </w:rPr>
            </w:pPr>
          </w:p>
        </w:tc>
        <w:tc>
          <w:tcPr>
            <w:tcW w:w="1095" w:type="dxa"/>
            <w:noWrap w:val="0"/>
            <w:vAlign w:val="center"/>
          </w:tcPr>
          <w:p w14:paraId="31C58C56">
            <w:pPr>
              <w:spacing w:line="340" w:lineRule="exact"/>
              <w:jc w:val="left"/>
              <w:rPr>
                <w:rFonts w:ascii="宋体" w:hAnsi="宋体"/>
                <w:color w:val="auto"/>
                <w:sz w:val="24"/>
                <w:highlight w:val="none"/>
              </w:rPr>
            </w:pPr>
          </w:p>
        </w:tc>
        <w:tc>
          <w:tcPr>
            <w:tcW w:w="1413" w:type="dxa"/>
            <w:noWrap w:val="0"/>
            <w:vAlign w:val="center"/>
          </w:tcPr>
          <w:p w14:paraId="5F5107EE">
            <w:pPr>
              <w:spacing w:line="340" w:lineRule="exact"/>
              <w:jc w:val="left"/>
              <w:rPr>
                <w:color w:val="auto"/>
                <w:sz w:val="24"/>
                <w:highlight w:val="none"/>
              </w:rPr>
            </w:pPr>
          </w:p>
        </w:tc>
        <w:tc>
          <w:tcPr>
            <w:tcW w:w="778" w:type="dxa"/>
            <w:noWrap w:val="0"/>
            <w:vAlign w:val="top"/>
          </w:tcPr>
          <w:p w14:paraId="4F472F9B">
            <w:pPr>
              <w:spacing w:line="340" w:lineRule="exact"/>
              <w:jc w:val="left"/>
              <w:rPr>
                <w:color w:val="auto"/>
                <w:sz w:val="24"/>
                <w:highlight w:val="none"/>
              </w:rPr>
            </w:pPr>
          </w:p>
        </w:tc>
      </w:tr>
    </w:tbl>
    <w:p w14:paraId="5C6D1D3F">
      <w:pPr>
        <w:snapToGrid w:val="0"/>
        <w:spacing w:line="300" w:lineRule="auto"/>
        <w:contextualSpacing/>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w:t>
      </w:r>
    </w:p>
    <w:p w14:paraId="454AA8F8">
      <w:pPr>
        <w:snapToGrid w:val="0"/>
        <w:spacing w:line="30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1.供应商提交的响应文件中与磋商文件第三部分“项目需求”中的技术部分的要求，应逐条填列在偏离表中。</w:t>
      </w:r>
    </w:p>
    <w:p w14:paraId="16E28A25">
      <w:pPr>
        <w:snapToGrid w:val="0"/>
        <w:spacing w:line="30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2.“偏离说明”一栏选择“正偏离”、“无偏离”、“负偏离”进行填写。正偏离、无偏离的确认和负偏离的是否响应磋商文件，由磋商小组认定。</w:t>
      </w:r>
    </w:p>
    <w:p w14:paraId="6D5AB34F">
      <w:pPr>
        <w:snapToGrid w:val="0"/>
        <w:spacing w:line="30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3.供应商若提供其他增值服务，可以在表中自行据实填写。</w:t>
      </w:r>
    </w:p>
    <w:p w14:paraId="160EE362">
      <w:pPr>
        <w:rPr>
          <w:rFonts w:hint="eastAsia" w:ascii="宋体" w:hAnsi="宋体" w:eastAsia="宋体" w:cs="宋体"/>
          <w:color w:val="auto"/>
          <w:sz w:val="24"/>
          <w:szCs w:val="24"/>
          <w:highlight w:val="none"/>
        </w:rPr>
      </w:pPr>
    </w:p>
    <w:p w14:paraId="73789901">
      <w:pPr>
        <w:jc w:val="center"/>
        <w:rPr>
          <w:rFonts w:hint="eastAsia" w:ascii="宋体" w:hAnsi="宋体" w:eastAsia="宋体" w:cs="宋体"/>
          <w:b/>
          <w:color w:val="auto"/>
          <w:sz w:val="30"/>
          <w:szCs w:val="30"/>
          <w:highlight w:val="none"/>
        </w:rPr>
      </w:pPr>
      <w:r>
        <w:rPr>
          <w:rFonts w:hint="eastAsia" w:ascii="宋体" w:hAnsi="宋体" w:eastAsia="宋体" w:cs="宋体"/>
          <w:color w:val="auto"/>
          <w:sz w:val="24"/>
          <w:szCs w:val="24"/>
          <w:highlight w:val="none"/>
        </w:rPr>
        <w:br w:type="page" w:clear="all"/>
      </w:r>
      <w:bookmarkStart w:id="140" w:name="_Hlt26955054"/>
      <w:bookmarkEnd w:id="140"/>
      <w:r>
        <w:rPr>
          <w:rFonts w:hint="eastAsia" w:ascii="宋体" w:hAnsi="宋体" w:eastAsia="宋体" w:cs="宋体"/>
          <w:b/>
          <w:color w:val="auto"/>
          <w:sz w:val="30"/>
          <w:szCs w:val="30"/>
          <w:highlight w:val="none"/>
        </w:rPr>
        <w:t>商务部分正负偏离表</w:t>
      </w:r>
    </w:p>
    <w:p w14:paraId="6D018BA4">
      <w:pPr>
        <w:pStyle w:val="2"/>
        <w:jc w:val="center"/>
        <w:rPr>
          <w:rFonts w:hint="eastAsia" w:ascii="宋体" w:hAnsi="宋体" w:eastAsia="宋体" w:cs="宋体"/>
          <w:color w:val="auto"/>
          <w:highlight w:val="none"/>
          <w:lang w:eastAsia="en-US"/>
        </w:rPr>
      </w:pPr>
      <w:r>
        <w:rPr>
          <w:rFonts w:hint="eastAsia" w:ascii="宋体" w:hAnsi="宋体" w:eastAsia="宋体" w:cs="宋体"/>
          <w:color w:val="auto"/>
          <w:sz w:val="28"/>
          <w:szCs w:val="28"/>
          <w:highlight w:val="none"/>
        </w:rPr>
        <w:t>（由供应商据实填写，表格不够自行添加）</w:t>
      </w:r>
    </w:p>
    <w:tbl>
      <w:tblPr>
        <w:tblStyle w:val="34"/>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95"/>
        <w:gridCol w:w="2443"/>
        <w:gridCol w:w="2133"/>
        <w:gridCol w:w="2753"/>
        <w:gridCol w:w="1516"/>
      </w:tblGrid>
      <w:tr w14:paraId="164C176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noWrap w:val="0"/>
            <w:vAlign w:val="center"/>
          </w:tcPr>
          <w:p w14:paraId="39CED5B0">
            <w:pPr>
              <w:spacing w:line="340" w:lineRule="exact"/>
              <w:jc w:val="center"/>
              <w:rPr>
                <w:rFonts w:ascii="宋体" w:hAnsi="宋体"/>
                <w:color w:val="auto"/>
                <w:sz w:val="24"/>
                <w:highlight w:val="none"/>
              </w:rPr>
            </w:pPr>
            <w:bookmarkStart w:id="141" w:name="_格式2__法定代表人授权书"/>
            <w:bookmarkEnd w:id="141"/>
            <w:bookmarkStart w:id="142" w:name="_Hlt26671374"/>
            <w:bookmarkEnd w:id="142"/>
            <w:bookmarkStart w:id="143" w:name="_Hlt26671372"/>
            <w:bookmarkEnd w:id="143"/>
            <w:bookmarkStart w:id="144" w:name="_Hlt24879081"/>
            <w:bookmarkEnd w:id="144"/>
            <w:bookmarkStart w:id="145" w:name="_Hlt26955064"/>
            <w:bookmarkEnd w:id="145"/>
            <w:bookmarkStart w:id="146" w:name="_Hlt26609391"/>
            <w:bookmarkEnd w:id="146"/>
            <w:bookmarkStart w:id="147" w:name="_Hlt26782999"/>
            <w:bookmarkEnd w:id="147"/>
            <w:bookmarkStart w:id="148" w:name="_Hlt26580838"/>
            <w:bookmarkEnd w:id="148"/>
            <w:bookmarkStart w:id="149" w:name="_Hlt26609389"/>
            <w:bookmarkEnd w:id="149"/>
            <w:bookmarkStart w:id="150" w:name="_Hlt26955056"/>
            <w:bookmarkEnd w:id="150"/>
            <w:bookmarkStart w:id="151" w:name="_Hlt26671343"/>
            <w:bookmarkEnd w:id="151"/>
            <w:bookmarkStart w:id="152" w:name="_Hlt26955066"/>
            <w:bookmarkEnd w:id="152"/>
            <w:r>
              <w:rPr>
                <w:rFonts w:hint="eastAsia" w:ascii="宋体" w:hAnsi="宋体"/>
                <w:color w:val="auto"/>
                <w:sz w:val="24"/>
                <w:highlight w:val="none"/>
              </w:rPr>
              <w:t>序号</w:t>
            </w:r>
          </w:p>
        </w:tc>
        <w:tc>
          <w:tcPr>
            <w:tcW w:w="1254" w:type="dxa"/>
            <w:noWrap w:val="0"/>
            <w:vAlign w:val="center"/>
          </w:tcPr>
          <w:p w14:paraId="0CE055F2">
            <w:pPr>
              <w:spacing w:line="340" w:lineRule="exact"/>
              <w:jc w:val="center"/>
              <w:rPr>
                <w:rFonts w:ascii="宋体" w:hAnsi="宋体"/>
                <w:color w:val="auto"/>
                <w:sz w:val="24"/>
                <w:highlight w:val="none"/>
              </w:rPr>
            </w:pPr>
            <w:r>
              <w:rPr>
                <w:rFonts w:hint="eastAsia" w:ascii="宋体" w:hAnsi="宋体"/>
                <w:color w:val="auto"/>
                <w:sz w:val="24"/>
                <w:highlight w:val="none"/>
              </w:rPr>
              <w:t>货物或服务名称</w:t>
            </w:r>
          </w:p>
        </w:tc>
        <w:tc>
          <w:tcPr>
            <w:tcW w:w="1095" w:type="dxa"/>
            <w:noWrap w:val="0"/>
            <w:vAlign w:val="center"/>
          </w:tcPr>
          <w:p w14:paraId="4D1367D8">
            <w:pPr>
              <w:spacing w:line="340" w:lineRule="exact"/>
              <w:jc w:val="center"/>
              <w:rPr>
                <w:rFonts w:ascii="宋体" w:hAnsi="宋体"/>
                <w:color w:val="auto"/>
                <w:sz w:val="24"/>
                <w:highlight w:val="none"/>
              </w:rPr>
            </w:pPr>
            <w:r>
              <w:rPr>
                <w:rFonts w:hint="eastAsia" w:ascii="宋体" w:hAnsi="宋体"/>
                <w:color w:val="auto"/>
                <w:sz w:val="24"/>
                <w:highlight w:val="none"/>
              </w:rPr>
              <w:t>磋商文件要求的商务条款</w:t>
            </w:r>
          </w:p>
        </w:tc>
        <w:tc>
          <w:tcPr>
            <w:tcW w:w="1413" w:type="dxa"/>
            <w:noWrap w:val="0"/>
            <w:vAlign w:val="center"/>
          </w:tcPr>
          <w:p w14:paraId="06C2A096">
            <w:pPr>
              <w:spacing w:line="340" w:lineRule="exact"/>
              <w:jc w:val="center"/>
              <w:rPr>
                <w:rFonts w:ascii="宋体" w:hAnsi="宋体"/>
                <w:color w:val="auto"/>
                <w:sz w:val="24"/>
                <w:highlight w:val="none"/>
              </w:rPr>
            </w:pPr>
            <w:r>
              <w:rPr>
                <w:rFonts w:hint="eastAsia" w:ascii="宋体" w:hAnsi="宋体"/>
                <w:color w:val="auto"/>
                <w:sz w:val="24"/>
                <w:highlight w:val="none"/>
              </w:rPr>
              <w:t>响应文件响应情况</w:t>
            </w:r>
          </w:p>
        </w:tc>
        <w:tc>
          <w:tcPr>
            <w:tcW w:w="778" w:type="dxa"/>
            <w:noWrap w:val="0"/>
            <w:vAlign w:val="top"/>
          </w:tcPr>
          <w:p w14:paraId="6783A8E0">
            <w:pPr>
              <w:spacing w:line="340" w:lineRule="exact"/>
              <w:jc w:val="center"/>
              <w:rPr>
                <w:rFonts w:ascii="宋体" w:hAnsi="宋体"/>
                <w:color w:val="auto"/>
                <w:sz w:val="24"/>
                <w:highlight w:val="none"/>
              </w:rPr>
            </w:pPr>
          </w:p>
          <w:p w14:paraId="34513200">
            <w:pPr>
              <w:spacing w:line="340" w:lineRule="exact"/>
              <w:jc w:val="center"/>
              <w:rPr>
                <w:rFonts w:ascii="宋体" w:hAnsi="宋体"/>
                <w:color w:val="auto"/>
                <w:sz w:val="24"/>
                <w:highlight w:val="none"/>
              </w:rPr>
            </w:pPr>
            <w:r>
              <w:rPr>
                <w:rFonts w:hint="eastAsia" w:ascii="宋体" w:hAnsi="宋体"/>
                <w:color w:val="auto"/>
                <w:sz w:val="24"/>
                <w:highlight w:val="none"/>
              </w:rPr>
              <w:t>偏离说明</w:t>
            </w:r>
          </w:p>
        </w:tc>
      </w:tr>
      <w:tr w14:paraId="526F7DD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noWrap w:val="0"/>
            <w:vAlign w:val="top"/>
          </w:tcPr>
          <w:p w14:paraId="6E1FAE3F">
            <w:pPr>
              <w:spacing w:line="340" w:lineRule="exact"/>
              <w:jc w:val="center"/>
              <w:rPr>
                <w:rFonts w:ascii="宋体" w:hAnsi="宋体"/>
                <w:color w:val="auto"/>
                <w:sz w:val="24"/>
                <w:highlight w:val="none"/>
              </w:rPr>
            </w:pPr>
            <w:r>
              <w:rPr>
                <w:rFonts w:hint="eastAsia" w:ascii="宋体" w:hAnsi="宋体"/>
                <w:color w:val="auto"/>
                <w:sz w:val="24"/>
                <w:highlight w:val="none"/>
              </w:rPr>
              <w:t>1</w:t>
            </w:r>
          </w:p>
        </w:tc>
        <w:tc>
          <w:tcPr>
            <w:tcW w:w="1254" w:type="dxa"/>
            <w:noWrap w:val="0"/>
            <w:vAlign w:val="center"/>
          </w:tcPr>
          <w:p w14:paraId="770BD927">
            <w:pPr>
              <w:spacing w:line="340" w:lineRule="exact"/>
              <w:jc w:val="left"/>
              <w:rPr>
                <w:rFonts w:ascii="宋体" w:hAnsi="宋体"/>
                <w:color w:val="auto"/>
                <w:sz w:val="24"/>
                <w:highlight w:val="none"/>
              </w:rPr>
            </w:pPr>
          </w:p>
        </w:tc>
        <w:tc>
          <w:tcPr>
            <w:tcW w:w="1095" w:type="dxa"/>
            <w:noWrap w:val="0"/>
            <w:vAlign w:val="center"/>
          </w:tcPr>
          <w:p w14:paraId="7534E214">
            <w:pPr>
              <w:spacing w:line="340" w:lineRule="exact"/>
              <w:jc w:val="left"/>
              <w:rPr>
                <w:rFonts w:ascii="宋体" w:hAnsi="宋体"/>
                <w:color w:val="auto"/>
                <w:sz w:val="24"/>
                <w:highlight w:val="none"/>
              </w:rPr>
            </w:pPr>
          </w:p>
        </w:tc>
        <w:tc>
          <w:tcPr>
            <w:tcW w:w="1413" w:type="dxa"/>
            <w:noWrap w:val="0"/>
            <w:vAlign w:val="center"/>
          </w:tcPr>
          <w:p w14:paraId="6F1F58DB">
            <w:pPr>
              <w:spacing w:line="340" w:lineRule="exact"/>
              <w:jc w:val="left"/>
              <w:rPr>
                <w:color w:val="auto"/>
                <w:sz w:val="24"/>
                <w:highlight w:val="none"/>
              </w:rPr>
            </w:pPr>
          </w:p>
        </w:tc>
        <w:tc>
          <w:tcPr>
            <w:tcW w:w="778" w:type="dxa"/>
            <w:noWrap w:val="0"/>
            <w:vAlign w:val="top"/>
          </w:tcPr>
          <w:p w14:paraId="5AEC9051">
            <w:pPr>
              <w:spacing w:line="340" w:lineRule="exact"/>
              <w:jc w:val="left"/>
              <w:rPr>
                <w:color w:val="auto"/>
                <w:sz w:val="24"/>
                <w:highlight w:val="none"/>
              </w:rPr>
            </w:pPr>
          </w:p>
        </w:tc>
      </w:tr>
      <w:tr w14:paraId="79B9D5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noWrap w:val="0"/>
            <w:vAlign w:val="top"/>
          </w:tcPr>
          <w:p w14:paraId="5EAA629D">
            <w:pPr>
              <w:spacing w:line="340" w:lineRule="exact"/>
              <w:jc w:val="center"/>
              <w:rPr>
                <w:rFonts w:ascii="宋体" w:hAnsi="宋体"/>
                <w:color w:val="auto"/>
                <w:sz w:val="24"/>
                <w:highlight w:val="none"/>
              </w:rPr>
            </w:pPr>
            <w:r>
              <w:rPr>
                <w:rFonts w:hint="eastAsia" w:ascii="宋体" w:hAnsi="宋体"/>
                <w:color w:val="auto"/>
                <w:sz w:val="24"/>
                <w:highlight w:val="none"/>
              </w:rPr>
              <w:t>2</w:t>
            </w:r>
          </w:p>
        </w:tc>
        <w:tc>
          <w:tcPr>
            <w:tcW w:w="1254" w:type="dxa"/>
            <w:noWrap w:val="0"/>
            <w:vAlign w:val="center"/>
          </w:tcPr>
          <w:p w14:paraId="310EC109">
            <w:pPr>
              <w:spacing w:line="340" w:lineRule="exact"/>
              <w:jc w:val="left"/>
              <w:rPr>
                <w:rFonts w:ascii="宋体" w:hAnsi="宋体"/>
                <w:color w:val="auto"/>
                <w:sz w:val="24"/>
                <w:highlight w:val="none"/>
              </w:rPr>
            </w:pPr>
          </w:p>
        </w:tc>
        <w:tc>
          <w:tcPr>
            <w:tcW w:w="1095" w:type="dxa"/>
            <w:noWrap w:val="0"/>
            <w:vAlign w:val="center"/>
          </w:tcPr>
          <w:p w14:paraId="6711B07F">
            <w:pPr>
              <w:spacing w:line="340" w:lineRule="exact"/>
              <w:jc w:val="left"/>
              <w:rPr>
                <w:rFonts w:ascii="宋体" w:hAnsi="宋体"/>
                <w:color w:val="auto"/>
                <w:sz w:val="24"/>
                <w:highlight w:val="none"/>
              </w:rPr>
            </w:pPr>
          </w:p>
        </w:tc>
        <w:tc>
          <w:tcPr>
            <w:tcW w:w="1413" w:type="dxa"/>
            <w:noWrap w:val="0"/>
            <w:vAlign w:val="center"/>
          </w:tcPr>
          <w:p w14:paraId="39111BF3">
            <w:pPr>
              <w:spacing w:line="340" w:lineRule="exact"/>
              <w:jc w:val="left"/>
              <w:rPr>
                <w:color w:val="auto"/>
                <w:sz w:val="24"/>
                <w:highlight w:val="none"/>
              </w:rPr>
            </w:pPr>
          </w:p>
        </w:tc>
        <w:tc>
          <w:tcPr>
            <w:tcW w:w="778" w:type="dxa"/>
            <w:noWrap w:val="0"/>
            <w:vAlign w:val="top"/>
          </w:tcPr>
          <w:p w14:paraId="0AAE236C">
            <w:pPr>
              <w:spacing w:line="340" w:lineRule="exact"/>
              <w:jc w:val="left"/>
              <w:rPr>
                <w:color w:val="auto"/>
                <w:sz w:val="24"/>
                <w:highlight w:val="none"/>
              </w:rPr>
            </w:pPr>
          </w:p>
        </w:tc>
      </w:tr>
      <w:tr w14:paraId="04CCEB6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noWrap w:val="0"/>
            <w:vAlign w:val="top"/>
          </w:tcPr>
          <w:p w14:paraId="32410DFC">
            <w:pPr>
              <w:spacing w:line="340" w:lineRule="exact"/>
              <w:jc w:val="center"/>
              <w:rPr>
                <w:rFonts w:ascii="宋体" w:hAnsi="宋体"/>
                <w:color w:val="auto"/>
                <w:sz w:val="24"/>
                <w:highlight w:val="none"/>
              </w:rPr>
            </w:pPr>
            <w:r>
              <w:rPr>
                <w:rFonts w:hint="eastAsia" w:ascii="宋体" w:hAnsi="宋体"/>
                <w:color w:val="auto"/>
                <w:sz w:val="24"/>
                <w:highlight w:val="none"/>
              </w:rPr>
              <w:t>3</w:t>
            </w:r>
          </w:p>
        </w:tc>
        <w:tc>
          <w:tcPr>
            <w:tcW w:w="1254" w:type="dxa"/>
            <w:noWrap w:val="0"/>
            <w:vAlign w:val="center"/>
          </w:tcPr>
          <w:p w14:paraId="48F7B5EB">
            <w:pPr>
              <w:spacing w:line="340" w:lineRule="exact"/>
              <w:jc w:val="left"/>
              <w:rPr>
                <w:rFonts w:ascii="宋体" w:hAnsi="宋体"/>
                <w:color w:val="auto"/>
                <w:sz w:val="24"/>
                <w:highlight w:val="none"/>
              </w:rPr>
            </w:pPr>
          </w:p>
        </w:tc>
        <w:tc>
          <w:tcPr>
            <w:tcW w:w="1095" w:type="dxa"/>
            <w:noWrap w:val="0"/>
            <w:vAlign w:val="center"/>
          </w:tcPr>
          <w:p w14:paraId="243ED463">
            <w:pPr>
              <w:spacing w:line="340" w:lineRule="exact"/>
              <w:jc w:val="left"/>
              <w:rPr>
                <w:color w:val="auto"/>
                <w:sz w:val="24"/>
                <w:highlight w:val="none"/>
              </w:rPr>
            </w:pPr>
          </w:p>
        </w:tc>
        <w:tc>
          <w:tcPr>
            <w:tcW w:w="1413" w:type="dxa"/>
            <w:noWrap w:val="0"/>
            <w:vAlign w:val="center"/>
          </w:tcPr>
          <w:p w14:paraId="490AC5E7">
            <w:pPr>
              <w:spacing w:line="340" w:lineRule="exact"/>
              <w:jc w:val="left"/>
              <w:rPr>
                <w:color w:val="auto"/>
                <w:sz w:val="24"/>
                <w:highlight w:val="none"/>
              </w:rPr>
            </w:pPr>
          </w:p>
        </w:tc>
        <w:tc>
          <w:tcPr>
            <w:tcW w:w="778" w:type="dxa"/>
            <w:noWrap w:val="0"/>
            <w:vAlign w:val="top"/>
          </w:tcPr>
          <w:p w14:paraId="2211BFA1">
            <w:pPr>
              <w:spacing w:line="340" w:lineRule="exact"/>
              <w:jc w:val="left"/>
              <w:rPr>
                <w:color w:val="auto"/>
                <w:sz w:val="24"/>
                <w:highlight w:val="none"/>
              </w:rPr>
            </w:pPr>
          </w:p>
        </w:tc>
      </w:tr>
      <w:tr w14:paraId="5C959EE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noWrap w:val="0"/>
            <w:vAlign w:val="top"/>
          </w:tcPr>
          <w:p w14:paraId="4E37921D">
            <w:pPr>
              <w:spacing w:line="340" w:lineRule="exact"/>
              <w:jc w:val="center"/>
              <w:rPr>
                <w:rFonts w:ascii="宋体" w:hAnsi="宋体"/>
                <w:color w:val="auto"/>
                <w:sz w:val="24"/>
                <w:highlight w:val="none"/>
              </w:rPr>
            </w:pPr>
            <w:r>
              <w:rPr>
                <w:rFonts w:hint="eastAsia" w:ascii="宋体" w:hAnsi="宋体"/>
                <w:color w:val="auto"/>
                <w:sz w:val="24"/>
                <w:highlight w:val="none"/>
              </w:rPr>
              <w:t>4</w:t>
            </w:r>
          </w:p>
        </w:tc>
        <w:tc>
          <w:tcPr>
            <w:tcW w:w="1254" w:type="dxa"/>
            <w:noWrap w:val="0"/>
            <w:vAlign w:val="center"/>
          </w:tcPr>
          <w:p w14:paraId="1450A023">
            <w:pPr>
              <w:spacing w:line="340" w:lineRule="exact"/>
              <w:jc w:val="left"/>
              <w:rPr>
                <w:rFonts w:ascii="宋体" w:hAnsi="宋体"/>
                <w:color w:val="auto"/>
                <w:sz w:val="24"/>
                <w:highlight w:val="none"/>
              </w:rPr>
            </w:pPr>
          </w:p>
        </w:tc>
        <w:tc>
          <w:tcPr>
            <w:tcW w:w="1095" w:type="dxa"/>
            <w:noWrap w:val="0"/>
            <w:vAlign w:val="center"/>
          </w:tcPr>
          <w:p w14:paraId="6865E24F">
            <w:pPr>
              <w:spacing w:line="340" w:lineRule="exact"/>
              <w:jc w:val="left"/>
              <w:rPr>
                <w:rFonts w:ascii="宋体" w:hAnsi="宋体"/>
                <w:color w:val="auto"/>
                <w:sz w:val="24"/>
                <w:highlight w:val="none"/>
              </w:rPr>
            </w:pPr>
          </w:p>
        </w:tc>
        <w:tc>
          <w:tcPr>
            <w:tcW w:w="1413" w:type="dxa"/>
            <w:noWrap w:val="0"/>
            <w:vAlign w:val="center"/>
          </w:tcPr>
          <w:p w14:paraId="491E3FB4">
            <w:pPr>
              <w:spacing w:line="340" w:lineRule="exact"/>
              <w:jc w:val="left"/>
              <w:rPr>
                <w:color w:val="auto"/>
                <w:sz w:val="24"/>
                <w:highlight w:val="none"/>
              </w:rPr>
            </w:pPr>
          </w:p>
        </w:tc>
        <w:tc>
          <w:tcPr>
            <w:tcW w:w="778" w:type="dxa"/>
            <w:noWrap w:val="0"/>
            <w:vAlign w:val="top"/>
          </w:tcPr>
          <w:p w14:paraId="59D03217">
            <w:pPr>
              <w:spacing w:line="340" w:lineRule="exact"/>
              <w:jc w:val="left"/>
              <w:rPr>
                <w:color w:val="auto"/>
                <w:sz w:val="24"/>
                <w:highlight w:val="none"/>
              </w:rPr>
            </w:pPr>
          </w:p>
        </w:tc>
      </w:tr>
    </w:tbl>
    <w:p w14:paraId="79D2BCE6">
      <w:pPr>
        <w:snapToGrid w:val="0"/>
        <w:spacing w:line="300" w:lineRule="auto"/>
        <w:contextualSpacing/>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w:t>
      </w:r>
    </w:p>
    <w:p w14:paraId="02E4E91C">
      <w:pPr>
        <w:snapToGrid w:val="0"/>
        <w:spacing w:line="30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1.供应商提交的响应文件中与磋商文件第三部分“项目需求”中的商务部分的要求，应逐条填列在偏离表中。</w:t>
      </w:r>
    </w:p>
    <w:p w14:paraId="2812C4BD">
      <w:pPr>
        <w:snapToGrid w:val="0"/>
        <w:spacing w:line="30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2.“偏离说明”一栏选择“正偏离”、“无偏离”、“负偏离”进行填写。正偏离、无偏离的确认和负偏离的是否响应磋商文件，由磋商小组认定。</w:t>
      </w:r>
    </w:p>
    <w:p w14:paraId="42AE3BE7">
      <w:pPr>
        <w:snapToGrid w:val="0"/>
        <w:spacing w:line="30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3.供应商若提供其他增值服务，可以在表中自行据实填写。</w:t>
      </w:r>
    </w:p>
    <w:p w14:paraId="374537EA">
      <w:pPr>
        <w:rPr>
          <w:rFonts w:hint="eastAsia" w:ascii="宋体" w:hAnsi="宋体" w:eastAsia="宋体" w:cs="宋体"/>
          <w:b/>
          <w:color w:val="auto"/>
          <w:sz w:val="32"/>
          <w:szCs w:val="32"/>
          <w:highlight w:val="none"/>
        </w:rPr>
      </w:pPr>
    </w:p>
    <w:p w14:paraId="01D8031C">
      <w:pPr>
        <w:pageBreakBefore w:val="0"/>
        <w:kinsoku/>
        <w:wordWrap/>
        <w:topLinePunct w:val="0"/>
        <w:autoSpaceDE/>
        <w:autoSpaceDN/>
        <w:bidi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24"/>
          <w:szCs w:val="44"/>
          <w:highlight w:val="none"/>
        </w:rPr>
        <w:br w:type="page" w:clear="all"/>
      </w:r>
    </w:p>
    <w:p w14:paraId="5E05C01D">
      <w:pPr>
        <w:widowControl/>
        <w:spacing w:line="40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质疑函范本</w:t>
      </w:r>
    </w:p>
    <w:p w14:paraId="7FA071A4">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一、质疑供应商基本信息</w:t>
      </w:r>
    </w:p>
    <w:p w14:paraId="260831F8">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质疑供应商：</w:t>
      </w:r>
      <w:r>
        <w:rPr>
          <w:rFonts w:hint="eastAsia" w:ascii="宋体" w:hAnsi="宋体" w:eastAsia="宋体" w:cs="宋体"/>
          <w:color w:val="auto"/>
          <w:sz w:val="24"/>
          <w:szCs w:val="24"/>
          <w:highlight w:val="none"/>
          <w:u w:val="single"/>
        </w:rPr>
        <w:t xml:space="preserve">                                                              </w:t>
      </w:r>
    </w:p>
    <w:p w14:paraId="2CAF9BD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4DE88C0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189A2367">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single"/>
        </w:rPr>
        <w:t xml:space="preserve">                                                                 </w:t>
      </w:r>
    </w:p>
    <w:p w14:paraId="0A88950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0D59076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52793FDC">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14:paraId="757BBB6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u w:val="single"/>
        </w:rPr>
        <w:t xml:space="preserve">                                                          </w:t>
      </w:r>
    </w:p>
    <w:p w14:paraId="62EAC52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single"/>
        </w:rPr>
        <w:t xml:space="preserve">                           </w:t>
      </w:r>
    </w:p>
    <w:p w14:paraId="3F41B699">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single"/>
        </w:rPr>
        <w:t xml:space="preserve">                                                              </w:t>
      </w:r>
    </w:p>
    <w:p w14:paraId="78F02A2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磋商文件获取日期：</w:t>
      </w:r>
      <w:r>
        <w:rPr>
          <w:rFonts w:hint="eastAsia" w:ascii="宋体" w:hAnsi="宋体" w:eastAsia="宋体" w:cs="宋体"/>
          <w:color w:val="auto"/>
          <w:sz w:val="24"/>
          <w:szCs w:val="24"/>
          <w:highlight w:val="none"/>
          <w:u w:val="single"/>
        </w:rPr>
        <w:t xml:space="preserve">                                                        </w:t>
      </w:r>
    </w:p>
    <w:p w14:paraId="2A8C968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14:paraId="6D771FB2">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质疑事项1：</w:t>
      </w:r>
      <w:r>
        <w:rPr>
          <w:rFonts w:hint="eastAsia" w:ascii="宋体" w:hAnsi="宋体" w:eastAsia="宋体" w:cs="宋体"/>
          <w:color w:val="auto"/>
          <w:sz w:val="24"/>
          <w:szCs w:val="24"/>
          <w:highlight w:val="none"/>
          <w:u w:val="single"/>
        </w:rPr>
        <w:t xml:space="preserve">                                                              </w:t>
      </w:r>
    </w:p>
    <w:p w14:paraId="36B94DD3">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single"/>
        </w:rPr>
        <w:t xml:space="preserve">                                                                </w:t>
      </w:r>
    </w:p>
    <w:p w14:paraId="3B8E0E5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14:paraId="3A7D5299">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single"/>
        </w:rPr>
        <w:t xml:space="preserve">                                                                 </w:t>
      </w:r>
    </w:p>
    <w:p w14:paraId="2DA72C09">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14:paraId="795649A3">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质疑事项2</w:t>
      </w:r>
    </w:p>
    <w:p w14:paraId="313AD25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1554766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14:paraId="32293C90">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single"/>
        </w:rPr>
        <w:t xml:space="preserve">                                                                     </w:t>
      </w:r>
    </w:p>
    <w:p w14:paraId="506800C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公章：                      </w:t>
      </w:r>
    </w:p>
    <w:p w14:paraId="4E7CA4A6">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57AD656D">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质疑函制作说明：</w:t>
      </w:r>
    </w:p>
    <w:p w14:paraId="397E6BFB">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1.供应商提出质疑时，应提交质疑函和必要的证明材料。</w:t>
      </w:r>
    </w:p>
    <w:p w14:paraId="1369F814">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30D704A">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3.质疑供应商若对项目的某一分包进行质疑，质疑函中应列明具体标段。</w:t>
      </w:r>
    </w:p>
    <w:p w14:paraId="21985F3B">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4B3A536A">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29676F22">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59A05E6E">
      <w:pPr>
        <w:ind w:firstLine="420"/>
        <w:rPr>
          <w:rFonts w:hint="eastAsia" w:ascii="宋体" w:hAnsi="宋体" w:eastAsia="宋体" w:cs="宋体"/>
          <w:color w:val="auto"/>
          <w:sz w:val="24"/>
          <w:szCs w:val="24"/>
          <w:highlight w:val="none"/>
        </w:rPr>
      </w:pPr>
    </w:p>
    <w:p w14:paraId="00537670">
      <w:pPr>
        <w:ind w:firstLine="420"/>
        <w:rPr>
          <w:rFonts w:hint="eastAsia" w:ascii="宋体" w:hAnsi="宋体" w:eastAsia="宋体" w:cs="宋体"/>
          <w:color w:val="auto"/>
          <w:sz w:val="24"/>
          <w:szCs w:val="24"/>
          <w:highlight w:val="none"/>
        </w:rPr>
      </w:pPr>
    </w:p>
    <w:p w14:paraId="7B9E64F5">
      <w:pPr>
        <w:rPr>
          <w:rFonts w:hint="eastAsia" w:ascii="宋体" w:hAnsi="宋体" w:eastAsia="宋体" w:cs="宋体"/>
          <w:color w:val="auto"/>
          <w:szCs w:val="21"/>
          <w:highlight w:val="none"/>
        </w:rPr>
      </w:pPr>
    </w:p>
    <w:p w14:paraId="2810F019">
      <w:pPr>
        <w:keepNext/>
        <w:keepLines/>
        <w:spacing w:before="260" w:after="260" w:line="416" w:lineRule="auto"/>
        <w:ind w:firstLine="4520"/>
        <w:outlineLvl w:val="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p>
    <w:sectPr>
      <w:footerReference r:id="rId9" w:type="first"/>
      <w:headerReference r:id="rId7" w:type="default"/>
      <w:footerReference r:id="rId8" w:type="default"/>
      <w:pgSz w:w="11906" w:h="16838"/>
      <w:pgMar w:top="1191" w:right="1191" w:bottom="1191" w:left="1191" w:header="851"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Cambria">
    <w:panose1 w:val="02040503050406030204"/>
    <w:charset w:val="00"/>
    <w:family w:val="auto"/>
    <w:pitch w:val="default"/>
    <w:sig w:usb0="E00006FF" w:usb1="420024FF" w:usb2="02000000" w:usb3="00000000" w:csb0="2000019F" w:csb1="00000000"/>
  </w:font>
  <w:font w:name="Calibri-Bold">
    <w:altName w:val="Calibri"/>
    <w:panose1 w:val="020F0502020204030204"/>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2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4329C">
    <w:pPr>
      <w:pStyle w:val="234"/>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546D8">
    <w:pPr>
      <w:pStyle w:val="234"/>
      <w:framePr w:wrap="around" w:vAnchor="text" w:hAnchor="margin" w:xAlign="center" w:y="1"/>
      <w:rPr>
        <w:rStyle w:val="260"/>
      </w:rPr>
    </w:pPr>
    <w:r>
      <w:fldChar w:fldCharType="begin"/>
    </w:r>
    <w:r>
      <w:rPr>
        <w:rStyle w:val="260"/>
      </w:rPr>
      <w:instrText xml:space="preserve">PAGE  </w:instrText>
    </w:r>
    <w:r>
      <w:fldChar w:fldCharType="separate"/>
    </w:r>
    <w:r>
      <w:rPr>
        <w:rStyle w:val="260"/>
      </w:rPr>
      <w:t>1</w:t>
    </w:r>
    <w:r>
      <w:fldChar w:fldCharType="end"/>
    </w:r>
  </w:p>
  <w:p w14:paraId="3C8C87D8">
    <w:pPr>
      <w:pStyle w:val="2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2FD1D">
    <w:pPr>
      <w:pStyle w:val="234"/>
      <w:jc w:val="center"/>
    </w:pPr>
  </w:p>
  <w:p w14:paraId="19951B21">
    <w:pPr>
      <w:pStyle w:val="234"/>
      <w:ind w:right="18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D1105">
    <w:pPr>
      <w:pStyle w:val="234"/>
      <w:jc w:val="center"/>
      <w:rPr>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0AF827B">
                          <w:pPr>
                            <w:pStyle w:val="234"/>
                            <w:tabs>
                              <w:tab w:val="clear" w:pos="4153"/>
                              <w:tab w:val="clear" w:pos="8306"/>
                            </w:tabs>
                          </w:pPr>
                          <w:r>
                            <w:fldChar w:fldCharType="begin"/>
                          </w:r>
                          <w:r>
                            <w:instrText xml:space="preserve"> PAGE  \* MERGEFORMAT </w:instrText>
                          </w:r>
                          <w:r>
                            <w:fldChar w:fldCharType="separate"/>
                          </w:r>
                          <w:r>
                            <w:t>34</w:t>
                          </w:r>
                          <w:r>
                            <w:fldChar w:fldCharType="end"/>
                          </w:r>
                        </w:p>
                        <w:p w14:paraId="3F14DD4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0AF827B">
                    <w:pPr>
                      <w:pStyle w:val="234"/>
                      <w:tabs>
                        <w:tab w:val="clear" w:pos="4153"/>
                        <w:tab w:val="clear" w:pos="8306"/>
                      </w:tabs>
                    </w:pPr>
                    <w:r>
                      <w:fldChar w:fldCharType="begin"/>
                    </w:r>
                    <w:r>
                      <w:instrText xml:space="preserve"> PAGE  \* MERGEFORMAT </w:instrText>
                    </w:r>
                    <w:r>
                      <w:fldChar w:fldCharType="separate"/>
                    </w:r>
                    <w:r>
                      <w:t>34</w:t>
                    </w:r>
                    <w:r>
                      <w:fldChar w:fldCharType="end"/>
                    </w:r>
                  </w:p>
                  <w:p w14:paraId="3F14DD4A"/>
                </w:txbxContent>
              </v:textbox>
            </v:shape>
          </w:pict>
        </mc:Fallback>
      </mc:AlternateContent>
    </w: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C97546F"/>
                        <w:p w14:paraId="538CE373"/>
                        <w:p w14:paraId="2ED9BDB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4C97546F"/>
                  <w:p w14:paraId="538CE373"/>
                  <w:p w14:paraId="2ED9BDB8"/>
                </w:txbxContent>
              </v:textbox>
            </v:shape>
          </w:pict>
        </mc:Fallback>
      </mc:AlternateContent>
    </w:r>
    <w:r>
      <w:rPr>
        <w:b/>
        <w:i/>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B517A">
    <w:pPr>
      <w:pStyle w:val="23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E5C4629">
                          <w:pPr>
                            <w:pStyle w:val="234"/>
                            <w:tabs>
                              <w:tab w:val="clear" w:pos="4153"/>
                              <w:tab w:val="clear" w:pos="8306"/>
                            </w:tabs>
                            <w:jc w:val="center"/>
                          </w:pPr>
                          <w:r>
                            <w:fldChar w:fldCharType="begin"/>
                          </w:r>
                          <w:r>
                            <w:instrText xml:space="preserve">PAGE   \* MERGEFORMAT</w:instrText>
                          </w:r>
                          <w:r>
                            <w:fldChar w:fldCharType="separate"/>
                          </w:r>
                          <w:r>
                            <w:rPr>
                              <w:lang w:val="zh-CN"/>
                            </w:rPr>
                            <w:t>-</w:t>
                          </w:r>
                          <w:r>
                            <w:t xml:space="preserve"> 32 -</w:t>
                          </w:r>
                          <w:r>
                            <w:fldChar w:fldCharType="end"/>
                          </w:r>
                        </w:p>
                        <w:p w14:paraId="6E08DB4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3E5C4629">
                    <w:pPr>
                      <w:pStyle w:val="234"/>
                      <w:tabs>
                        <w:tab w:val="clear" w:pos="4153"/>
                        <w:tab w:val="clear" w:pos="8306"/>
                      </w:tabs>
                      <w:jc w:val="center"/>
                    </w:pPr>
                    <w:r>
                      <w:fldChar w:fldCharType="begin"/>
                    </w:r>
                    <w:r>
                      <w:instrText xml:space="preserve">PAGE   \* MERGEFORMAT</w:instrText>
                    </w:r>
                    <w:r>
                      <w:fldChar w:fldCharType="separate"/>
                    </w:r>
                    <w:r>
                      <w:rPr>
                        <w:lang w:val="zh-CN"/>
                      </w:rPr>
                      <w:t>-</w:t>
                    </w:r>
                    <w:r>
                      <w:t xml:space="preserve"> 32 -</w:t>
                    </w:r>
                    <w:r>
                      <w:fldChar w:fldCharType="end"/>
                    </w:r>
                  </w:p>
                  <w:p w14:paraId="6E08DB41"/>
                </w:txbxContent>
              </v:textbox>
            </v:shape>
          </w:pict>
        </mc:Fallback>
      </mc:AlternateContent>
    </w:r>
  </w:p>
  <w:p w14:paraId="3361D2B5">
    <w:pPr>
      <w:pStyle w:val="234"/>
      <w:ind w:right="18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61483">
    <w:pPr>
      <w:pStyle w:val="237"/>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07119">
    <w:pPr>
      <w:pStyle w:val="22"/>
      <w:pBdr>
        <w:bottom w:val="none" w:color="000000" w:sz="0" w:space="0"/>
      </w:pBdr>
      <w:tabs>
        <w:tab w:val="center" w:pos="4153"/>
        <w:tab w:val="right" w:pos="8306"/>
        <w:tab w:val="clear" w:pos="7143"/>
        <w:tab w:val="clear" w:pos="142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27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4"/>
      <w:suff w:val="nothing"/>
      <w:lvlText w:val=""/>
      <w:lvlJc w:val="left"/>
      <w:pPr>
        <w:ind w:left="0" w:firstLine="0"/>
      </w:pPr>
      <w:rPr>
        <w:rFonts w:hint="eastAsia"/>
      </w:rPr>
    </w:lvl>
    <w:lvl w:ilvl="6" w:tentative="0">
      <w:start w:val="1"/>
      <w:numFmt w:val="decimal"/>
      <w:pStyle w:val="195"/>
      <w:suff w:val="nothing"/>
      <w:lvlText w:val=""/>
      <w:lvlJc w:val="left"/>
      <w:pPr>
        <w:ind w:left="0" w:firstLine="0"/>
      </w:pPr>
      <w:rPr>
        <w:rFonts w:hint="eastAsia"/>
      </w:rPr>
    </w:lvl>
    <w:lvl w:ilvl="7" w:tentative="0">
      <w:start w:val="1"/>
      <w:numFmt w:val="decimal"/>
      <w:pStyle w:val="196"/>
      <w:suff w:val="nothing"/>
      <w:lvlText w:val=""/>
      <w:lvlJc w:val="left"/>
      <w:pPr>
        <w:ind w:left="0" w:firstLine="0"/>
      </w:pPr>
      <w:rPr>
        <w:rFonts w:hint="eastAsia"/>
      </w:rPr>
    </w:lvl>
    <w:lvl w:ilvl="8" w:tentative="0">
      <w:start w:val="1"/>
      <w:numFmt w:val="decimal"/>
      <w:pStyle w:val="197"/>
      <w:suff w:val="nothing"/>
      <w:lvlText w:val=""/>
      <w:lvlJc w:val="left"/>
      <w:pPr>
        <w:ind w:left="0" w:firstLine="0"/>
      </w:pPr>
      <w:rPr>
        <w:rFonts w:hint="eastAsia"/>
      </w:rPr>
    </w:lvl>
  </w:abstractNum>
  <w:abstractNum w:abstractNumId="2">
    <w:nsid w:val="1FCDA6D8"/>
    <w:multiLevelType w:val="singleLevel"/>
    <w:tmpl w:val="1FCDA6D8"/>
    <w:lvl w:ilvl="0" w:tentative="0">
      <w:start w:val="4"/>
      <w:numFmt w:val="chineseCounting"/>
      <w:suff w:val="nothing"/>
      <w:lvlText w:val="%1、"/>
      <w:lvlJc w:val="left"/>
      <w:rPr>
        <w:rFonts w:hint="eastAsia"/>
      </w:rPr>
    </w:lvl>
  </w:abstractNum>
  <w:abstractNum w:abstractNumId="3">
    <w:nsid w:val="59ADCABA"/>
    <w:multiLevelType w:val="multilevel"/>
    <w:tmpl w:val="59ADCABA"/>
    <w:lvl w:ilvl="0" w:tentative="0">
      <w:start w:val="1"/>
      <w:numFmt w:val="decimal"/>
      <w:pStyle w:val="28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A4DB8"/>
    <w:rsid w:val="00405FBF"/>
    <w:rsid w:val="01284C10"/>
    <w:rsid w:val="02BA21E0"/>
    <w:rsid w:val="04974587"/>
    <w:rsid w:val="07CA5C1C"/>
    <w:rsid w:val="085409E1"/>
    <w:rsid w:val="08C07850"/>
    <w:rsid w:val="08C16076"/>
    <w:rsid w:val="090901D6"/>
    <w:rsid w:val="0C436DA2"/>
    <w:rsid w:val="0CCC168D"/>
    <w:rsid w:val="0D085BBC"/>
    <w:rsid w:val="0E8D69FB"/>
    <w:rsid w:val="10466E61"/>
    <w:rsid w:val="11BD75F7"/>
    <w:rsid w:val="11CB3AC2"/>
    <w:rsid w:val="122B630F"/>
    <w:rsid w:val="12655CC4"/>
    <w:rsid w:val="126857B5"/>
    <w:rsid w:val="126B7053"/>
    <w:rsid w:val="135B35B5"/>
    <w:rsid w:val="13893C35"/>
    <w:rsid w:val="152B4878"/>
    <w:rsid w:val="169D3553"/>
    <w:rsid w:val="16B75D61"/>
    <w:rsid w:val="1AB175CD"/>
    <w:rsid w:val="1AF04599"/>
    <w:rsid w:val="1E3E7C42"/>
    <w:rsid w:val="1EB83620"/>
    <w:rsid w:val="1EC45B21"/>
    <w:rsid w:val="206D6083"/>
    <w:rsid w:val="219F2875"/>
    <w:rsid w:val="22E85E23"/>
    <w:rsid w:val="23EB6B66"/>
    <w:rsid w:val="240F3CE2"/>
    <w:rsid w:val="2702368A"/>
    <w:rsid w:val="273F3A21"/>
    <w:rsid w:val="280B44BC"/>
    <w:rsid w:val="298F34E4"/>
    <w:rsid w:val="298F47CB"/>
    <w:rsid w:val="2BB944C8"/>
    <w:rsid w:val="2C506B58"/>
    <w:rsid w:val="2C6A07C8"/>
    <w:rsid w:val="2F4D56BE"/>
    <w:rsid w:val="326A748D"/>
    <w:rsid w:val="34FF56AD"/>
    <w:rsid w:val="35AD4B81"/>
    <w:rsid w:val="35DA3A24"/>
    <w:rsid w:val="360C0742"/>
    <w:rsid w:val="36D30B9F"/>
    <w:rsid w:val="37645C9B"/>
    <w:rsid w:val="384412D5"/>
    <w:rsid w:val="38B844F1"/>
    <w:rsid w:val="38D6139C"/>
    <w:rsid w:val="3A1514CF"/>
    <w:rsid w:val="3A4A561C"/>
    <w:rsid w:val="3C137C90"/>
    <w:rsid w:val="3C2C7333"/>
    <w:rsid w:val="3D1B6DFC"/>
    <w:rsid w:val="3E131DA7"/>
    <w:rsid w:val="3F281CA4"/>
    <w:rsid w:val="3F740A45"/>
    <w:rsid w:val="407062A1"/>
    <w:rsid w:val="42334BE8"/>
    <w:rsid w:val="439C056B"/>
    <w:rsid w:val="46641814"/>
    <w:rsid w:val="487E522F"/>
    <w:rsid w:val="48CA7AE2"/>
    <w:rsid w:val="4BDE77B0"/>
    <w:rsid w:val="4BF8736F"/>
    <w:rsid w:val="4C184529"/>
    <w:rsid w:val="4E5931B0"/>
    <w:rsid w:val="5019541D"/>
    <w:rsid w:val="50306C0B"/>
    <w:rsid w:val="51DC7F45"/>
    <w:rsid w:val="52D63A99"/>
    <w:rsid w:val="536966BB"/>
    <w:rsid w:val="54834C53"/>
    <w:rsid w:val="54A0435F"/>
    <w:rsid w:val="553625CD"/>
    <w:rsid w:val="55DF1854"/>
    <w:rsid w:val="56E9366F"/>
    <w:rsid w:val="5BEF797A"/>
    <w:rsid w:val="5CED066E"/>
    <w:rsid w:val="5CED3EB9"/>
    <w:rsid w:val="602816AC"/>
    <w:rsid w:val="622316AD"/>
    <w:rsid w:val="631B52B1"/>
    <w:rsid w:val="654B3E73"/>
    <w:rsid w:val="65AE2D41"/>
    <w:rsid w:val="65D75707"/>
    <w:rsid w:val="66990C0E"/>
    <w:rsid w:val="66AD6467"/>
    <w:rsid w:val="69F36887"/>
    <w:rsid w:val="6A9825EF"/>
    <w:rsid w:val="6B2F15FE"/>
    <w:rsid w:val="6B80414A"/>
    <w:rsid w:val="6C523D39"/>
    <w:rsid w:val="6CE10C19"/>
    <w:rsid w:val="727A7B45"/>
    <w:rsid w:val="752321DF"/>
    <w:rsid w:val="752E4C17"/>
    <w:rsid w:val="75942253"/>
    <w:rsid w:val="76656E9C"/>
    <w:rsid w:val="76CF1C1E"/>
    <w:rsid w:val="7A262361"/>
    <w:rsid w:val="7C705B15"/>
    <w:rsid w:val="7D2D3A06"/>
    <w:rsid w:val="7FB11F0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22"/>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314"/>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0"/>
    <w:pPr>
      <w:tabs>
        <w:tab w:val="left" w:pos="5250"/>
      </w:tabs>
    </w:pPr>
    <w:rPr>
      <w:rFonts w:ascii="Times New Roman" w:hAnsi="Times New Roman" w:eastAsia="宋体"/>
      <w:snapToGrid/>
      <w:kern w:val="2"/>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annotation text"/>
    <w:basedOn w:val="1"/>
    <w:semiHidden/>
    <w:unhideWhenUsed/>
    <w:qFormat/>
    <w:uiPriority w:val="99"/>
    <w:pPr>
      <w:jc w:val="left"/>
    </w:pPr>
  </w:style>
  <w:style w:type="paragraph" w:styleId="15">
    <w:name w:val="Body Text Indent"/>
    <w:basedOn w:val="1"/>
    <w:next w:val="16"/>
    <w:qFormat/>
    <w:uiPriority w:val="0"/>
    <w:pPr>
      <w:ind w:firstLine="570"/>
    </w:pPr>
    <w:rPr>
      <w:rFonts w:ascii="楷体_GB2312" w:hAnsi="Times New Roman" w:eastAsia="楷体_GB2312"/>
      <w:snapToGrid/>
      <w:kern w:val="2"/>
      <w:sz w:val="30"/>
      <w:szCs w:val="20"/>
    </w:rPr>
  </w:style>
  <w:style w:type="paragraph" w:styleId="16">
    <w:name w:val="envelope return"/>
    <w:basedOn w:val="1"/>
    <w:qFormat/>
    <w:uiPriority w:val="0"/>
    <w:pPr>
      <w:snapToGrid w:val="0"/>
    </w:pPr>
    <w:rPr>
      <w:rFonts w:ascii="Arial" w:hAnsi="Arial" w:eastAsia="宋体" w:cs="Arial"/>
      <w:snapToGrid/>
      <w:kern w:val="2"/>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6"/>
    <w:semiHidden/>
    <w:unhideWhenUsed/>
    <w:qFormat/>
    <w:uiPriority w:val="99"/>
    <w:pPr>
      <w:spacing w:after="0" w:line="240" w:lineRule="auto"/>
    </w:pPr>
    <w:rPr>
      <w:sz w:val="20"/>
    </w:rPr>
  </w:style>
  <w:style w:type="paragraph" w:styleId="21">
    <w:name w:val="footer"/>
    <w:basedOn w:val="1"/>
    <w:link w:val="59"/>
    <w:unhideWhenUsed/>
    <w:qFormat/>
    <w:uiPriority w:val="99"/>
    <w:pPr>
      <w:tabs>
        <w:tab w:val="center" w:pos="7143"/>
        <w:tab w:val="right" w:pos="14287"/>
      </w:tabs>
      <w:spacing w:after="0" w:line="240" w:lineRule="auto"/>
    </w:pPr>
  </w:style>
  <w:style w:type="paragraph" w:styleId="22">
    <w:name w:val="header"/>
    <w:basedOn w:val="1"/>
    <w:link w:val="57"/>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2"/>
    <w:qFormat/>
    <w:uiPriority w:val="11"/>
    <w:pPr>
      <w:spacing w:before="200" w:after="200"/>
    </w:pPr>
    <w:rPr>
      <w:sz w:val="24"/>
      <w:szCs w:val="24"/>
    </w:rPr>
  </w:style>
  <w:style w:type="paragraph" w:styleId="26">
    <w:name w:val="footnote text"/>
    <w:basedOn w:val="1"/>
    <w:link w:val="185"/>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qFormat/>
    <w:uiPriority w:val="0"/>
    <w:pPr>
      <w:spacing w:before="0" w:beforeAutospacing="1" w:after="0" w:afterAutospacing="1"/>
      <w:ind w:left="0" w:right="0"/>
      <w:jc w:val="left"/>
    </w:pPr>
    <w:rPr>
      <w:kern w:val="0"/>
      <w:sz w:val="24"/>
      <w:lang w:val="en-US" w:eastAsia="zh-CN" w:bidi="ar"/>
    </w:rPr>
  </w:style>
  <w:style w:type="paragraph" w:styleId="32">
    <w:name w:val="Title"/>
    <w:basedOn w:val="1"/>
    <w:next w:val="1"/>
    <w:link w:val="51"/>
    <w:qFormat/>
    <w:uiPriority w:val="10"/>
    <w:pPr>
      <w:spacing w:before="300" w:after="200"/>
      <w:contextualSpacing/>
    </w:pPr>
    <w:rPr>
      <w:sz w:val="48"/>
      <w:szCs w:val="48"/>
    </w:rPr>
  </w:style>
  <w:style w:type="paragraph" w:styleId="33">
    <w:name w:val="Body Text First Indent 2"/>
    <w:basedOn w:val="15"/>
    <w:next w:val="1"/>
    <w:unhideWhenUsed/>
    <w:qFormat/>
    <w:uiPriority w:val="99"/>
    <w:pPr>
      <w:spacing w:after="120"/>
      <w:ind w:left="420" w:leftChars="200" w:firstLine="420" w:firstLineChars="200"/>
    </w:pPr>
    <w:rPr>
      <w:rFonts w:ascii="Calibri" w:hAnsi="Calibri" w:eastAsia="宋体"/>
      <w:sz w:val="21"/>
      <w:szCs w:val="24"/>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rPr>
  </w:style>
  <w:style w:type="character" w:styleId="39">
    <w:name w:val="footnote reference"/>
    <w:unhideWhenUsed/>
    <w:qFormat/>
    <w:uiPriority w:val="99"/>
    <w:rPr>
      <w:vertAlign w:val="superscript"/>
    </w:rPr>
  </w:style>
  <w:style w:type="paragraph" w:customStyle="1" w:styleId="40">
    <w:name w:val="Default"/>
    <w:autoRedefine/>
    <w:qFormat/>
    <w:uiPriority w:val="0"/>
    <w:pPr>
      <w:widowControl w:val="0"/>
      <w:autoSpaceDE w:val="0"/>
      <w:autoSpaceDN w:val="0"/>
      <w:adjustRightInd w:val="0"/>
    </w:pPr>
    <w:rPr>
      <w:rFonts w:ascii="Times New Roman" w:hAnsi="Times New Roman" w:eastAsia="宋体" w:cs="Calibri"/>
      <w:color w:val="000000"/>
      <w:sz w:val="24"/>
      <w:szCs w:val="24"/>
      <w:lang w:val="en-US" w:eastAsia="zh-CN" w:bidi="ar-SA"/>
    </w:rPr>
  </w:style>
  <w:style w:type="character" w:customStyle="1" w:styleId="41">
    <w:name w:val="Heading 2 Char"/>
    <w:link w:val="4"/>
    <w:qFormat/>
    <w:uiPriority w:val="9"/>
    <w:rPr>
      <w:rFonts w:ascii="Arial" w:hAnsi="Arial" w:eastAsia="Arial" w:cs="Arial"/>
      <w:sz w:val="34"/>
    </w:rPr>
  </w:style>
  <w:style w:type="character" w:customStyle="1" w:styleId="42">
    <w:name w:val="Heading 3 Char"/>
    <w:link w:val="5"/>
    <w:qFormat/>
    <w:uiPriority w:val="9"/>
    <w:rPr>
      <w:rFonts w:ascii="Arial" w:hAnsi="Arial" w:eastAsia="Arial" w:cs="Arial"/>
      <w:sz w:val="30"/>
      <w:szCs w:val="30"/>
    </w:rPr>
  </w:style>
  <w:style w:type="character" w:customStyle="1" w:styleId="43">
    <w:name w:val="Heading 4 Char"/>
    <w:link w:val="6"/>
    <w:qFormat/>
    <w:uiPriority w:val="9"/>
    <w:rPr>
      <w:rFonts w:ascii="Arial" w:hAnsi="Arial" w:eastAsia="Arial" w:cs="Arial"/>
      <w:b/>
      <w:bCs/>
      <w:sz w:val="26"/>
      <w:szCs w:val="26"/>
    </w:rPr>
  </w:style>
  <w:style w:type="character" w:customStyle="1" w:styleId="44">
    <w:name w:val="Heading 5 Char"/>
    <w:link w:val="7"/>
    <w:qFormat/>
    <w:uiPriority w:val="9"/>
    <w:rPr>
      <w:rFonts w:ascii="Arial" w:hAnsi="Arial" w:eastAsia="Arial" w:cs="Arial"/>
      <w:b/>
      <w:bCs/>
      <w:sz w:val="24"/>
      <w:szCs w:val="24"/>
    </w:rPr>
  </w:style>
  <w:style w:type="character" w:customStyle="1" w:styleId="45">
    <w:name w:val="Heading 6 Char"/>
    <w:link w:val="8"/>
    <w:qFormat/>
    <w:uiPriority w:val="9"/>
    <w:rPr>
      <w:rFonts w:ascii="Arial" w:hAnsi="Arial" w:eastAsia="Arial" w:cs="Arial"/>
      <w:b/>
      <w:bCs/>
      <w:sz w:val="22"/>
      <w:szCs w:val="22"/>
    </w:rPr>
  </w:style>
  <w:style w:type="character" w:customStyle="1" w:styleId="46">
    <w:name w:val="Heading 7 Char"/>
    <w:link w:val="9"/>
    <w:qFormat/>
    <w:uiPriority w:val="9"/>
    <w:rPr>
      <w:rFonts w:ascii="Arial" w:hAnsi="Arial" w:eastAsia="Arial" w:cs="Arial"/>
      <w:b/>
      <w:bCs/>
      <w:i/>
      <w:iCs/>
      <w:sz w:val="22"/>
      <w:szCs w:val="22"/>
    </w:rPr>
  </w:style>
  <w:style w:type="character" w:customStyle="1" w:styleId="47">
    <w:name w:val="Heading 8 Char"/>
    <w:link w:val="10"/>
    <w:qFormat/>
    <w:uiPriority w:val="9"/>
    <w:rPr>
      <w:rFonts w:ascii="Arial" w:hAnsi="Arial" w:eastAsia="Arial" w:cs="Arial"/>
      <w:i/>
      <w:iCs/>
      <w:sz w:val="22"/>
      <w:szCs w:val="22"/>
    </w:rPr>
  </w:style>
  <w:style w:type="character" w:customStyle="1" w:styleId="48">
    <w:name w:val="Heading 9 Char"/>
    <w:link w:val="11"/>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link w:val="32"/>
    <w:qFormat/>
    <w:uiPriority w:val="10"/>
    <w:rPr>
      <w:sz w:val="48"/>
      <w:szCs w:val="48"/>
    </w:rPr>
  </w:style>
  <w:style w:type="character" w:customStyle="1" w:styleId="52">
    <w:name w:val="Subtitle Char"/>
    <w:link w:val="25"/>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22"/>
    <w:qFormat/>
    <w:uiPriority w:val="99"/>
  </w:style>
  <w:style w:type="character" w:customStyle="1" w:styleId="58">
    <w:name w:val="Footer Char"/>
    <w:link w:val="21"/>
    <w:qFormat/>
    <w:uiPriority w:val="99"/>
  </w:style>
  <w:style w:type="character" w:customStyle="1" w:styleId="59">
    <w:name w:val="Caption Char"/>
    <w:link w:val="21"/>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6"/>
    <w:qFormat/>
    <w:uiPriority w:val="99"/>
    <w:rPr>
      <w:sz w:val="18"/>
    </w:rPr>
  </w:style>
  <w:style w:type="character" w:customStyle="1" w:styleId="186">
    <w:name w:val="Endnote Text Char"/>
    <w:link w:val="20"/>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标题 11"/>
    <w:basedOn w:val="1"/>
    <w:next w:val="1"/>
    <w:link w:val="200"/>
    <w:qFormat/>
    <w:uiPriority w:val="99"/>
    <w:pPr>
      <w:keepNext/>
      <w:jc w:val="center"/>
      <w:outlineLvl w:val="0"/>
    </w:pPr>
    <w:rPr>
      <w:rFonts w:ascii="楷体_GB2312" w:hAnsi="Times New Roman" w:eastAsia="楷体_GB2312"/>
      <w:sz w:val="28"/>
      <w:szCs w:val="28"/>
    </w:rPr>
  </w:style>
  <w:style w:type="paragraph" w:customStyle="1" w:styleId="189">
    <w:name w:val="标题 21"/>
    <w:basedOn w:val="1"/>
    <w:next w:val="190"/>
    <w:link w:val="201"/>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90">
    <w:name w:val="正文缩进1"/>
    <w:basedOn w:val="1"/>
    <w:link w:val="202"/>
    <w:qFormat/>
    <w:uiPriority w:val="0"/>
    <w:pPr>
      <w:ind w:firstLine="420"/>
    </w:pPr>
    <w:rPr>
      <w:sz w:val="20"/>
      <w:szCs w:val="21"/>
    </w:rPr>
  </w:style>
  <w:style w:type="paragraph" w:customStyle="1" w:styleId="191">
    <w:name w:val="标题 31"/>
    <w:basedOn w:val="1"/>
    <w:next w:val="190"/>
    <w:link w:val="203"/>
    <w:qFormat/>
    <w:uiPriority w:val="0"/>
    <w:pPr>
      <w:keepNext/>
      <w:keepLines/>
      <w:spacing w:before="260" w:after="260" w:line="416" w:lineRule="auto"/>
      <w:outlineLvl w:val="2"/>
    </w:pPr>
    <w:rPr>
      <w:rFonts w:ascii="Times New Roman" w:hAnsi="Times New Roman"/>
      <w:b/>
      <w:bCs/>
      <w:sz w:val="32"/>
      <w:szCs w:val="32"/>
    </w:rPr>
  </w:style>
  <w:style w:type="paragraph" w:customStyle="1" w:styleId="192">
    <w:name w:val="标题 41"/>
    <w:basedOn w:val="1"/>
    <w:next w:val="190"/>
    <w:link w:val="204"/>
    <w:qFormat/>
    <w:uiPriority w:val="0"/>
    <w:pPr>
      <w:keepNext/>
      <w:keepLines/>
      <w:spacing w:before="280" w:after="290" w:line="376" w:lineRule="auto"/>
      <w:outlineLvl w:val="3"/>
    </w:pPr>
    <w:rPr>
      <w:rFonts w:ascii="Arial" w:hAnsi="Arial" w:eastAsia="黑体"/>
      <w:b/>
      <w:bCs/>
      <w:sz w:val="28"/>
      <w:szCs w:val="28"/>
    </w:rPr>
  </w:style>
  <w:style w:type="paragraph" w:customStyle="1" w:styleId="193">
    <w:name w:val="标题 51"/>
    <w:basedOn w:val="1"/>
    <w:next w:val="190"/>
    <w:link w:val="205"/>
    <w:qFormat/>
    <w:uiPriority w:val="0"/>
    <w:pPr>
      <w:keepNext/>
      <w:outlineLvl w:val="4"/>
    </w:pPr>
    <w:rPr>
      <w:rFonts w:ascii="宋体" w:hAnsi="Times New Roman"/>
      <w:color w:val="000000"/>
      <w:sz w:val="28"/>
      <w:szCs w:val="28"/>
    </w:rPr>
  </w:style>
  <w:style w:type="paragraph" w:customStyle="1" w:styleId="194">
    <w:name w:val="标题 611"/>
    <w:basedOn w:val="1"/>
    <w:next w:val="1"/>
    <w:link w:val="206"/>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5">
    <w:name w:val="标题 71"/>
    <w:basedOn w:val="1"/>
    <w:next w:val="1"/>
    <w:link w:val="207"/>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196">
    <w:name w:val="标题 81"/>
    <w:basedOn w:val="1"/>
    <w:next w:val="1"/>
    <w:link w:val="208"/>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7">
    <w:name w:val="标题 91"/>
    <w:basedOn w:val="1"/>
    <w:next w:val="1"/>
    <w:link w:val="209"/>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customStyle="1" w:styleId="198">
    <w:name w:val="默认段落字体1"/>
    <w:link w:val="1"/>
    <w:unhideWhenUsed/>
    <w:qFormat/>
    <w:uiPriority w:val="1"/>
  </w:style>
  <w:style w:type="table" w:customStyle="1" w:styleId="199">
    <w:name w:val="普通表格1"/>
    <w:unhideWhenUsed/>
    <w:qFormat/>
    <w:uiPriority w:val="99"/>
  </w:style>
  <w:style w:type="character" w:customStyle="1" w:styleId="200">
    <w:name w:val="标题 1 Char"/>
    <w:link w:val="188"/>
    <w:qFormat/>
    <w:uiPriority w:val="99"/>
    <w:rPr>
      <w:rFonts w:ascii="楷体_GB2312" w:hAnsi="Times New Roman" w:eastAsia="楷体_GB2312" w:cs="Times New Roman"/>
      <w:sz w:val="28"/>
      <w:szCs w:val="28"/>
    </w:rPr>
  </w:style>
  <w:style w:type="character" w:customStyle="1" w:styleId="201">
    <w:name w:val="标题 2 Char"/>
    <w:link w:val="189"/>
    <w:qFormat/>
    <w:uiPriority w:val="0"/>
    <w:rPr>
      <w:rFonts w:ascii="Arial" w:hAnsi="Arial" w:eastAsia="幼圆" w:cs="Arial"/>
      <w:b/>
      <w:bCs/>
      <w:sz w:val="44"/>
      <w:szCs w:val="44"/>
    </w:rPr>
  </w:style>
  <w:style w:type="character" w:customStyle="1" w:styleId="202">
    <w:name w:val="正文缩进 Char"/>
    <w:link w:val="190"/>
    <w:qFormat/>
    <w:uiPriority w:val="0"/>
    <w:rPr>
      <w:szCs w:val="21"/>
    </w:rPr>
  </w:style>
  <w:style w:type="character" w:customStyle="1" w:styleId="203">
    <w:name w:val="标题 3 Char"/>
    <w:link w:val="191"/>
    <w:qFormat/>
    <w:uiPriority w:val="0"/>
    <w:rPr>
      <w:rFonts w:ascii="Times New Roman" w:hAnsi="Times New Roman" w:eastAsia="宋体" w:cs="Times New Roman"/>
      <w:b/>
      <w:bCs/>
      <w:sz w:val="32"/>
      <w:szCs w:val="32"/>
    </w:rPr>
  </w:style>
  <w:style w:type="character" w:customStyle="1" w:styleId="204">
    <w:name w:val="标题 4 Char"/>
    <w:link w:val="192"/>
    <w:qFormat/>
    <w:uiPriority w:val="0"/>
    <w:rPr>
      <w:rFonts w:ascii="Arial" w:hAnsi="Arial" w:eastAsia="黑体" w:cs="Arial"/>
      <w:b/>
      <w:bCs/>
      <w:sz w:val="28"/>
      <w:szCs w:val="28"/>
    </w:rPr>
  </w:style>
  <w:style w:type="character" w:customStyle="1" w:styleId="205">
    <w:name w:val="标题 5 Char"/>
    <w:link w:val="193"/>
    <w:qFormat/>
    <w:uiPriority w:val="0"/>
    <w:rPr>
      <w:rFonts w:ascii="宋体" w:hAnsi="Times New Roman" w:eastAsia="宋体" w:cs="Times New Roman"/>
      <w:color w:val="000000"/>
      <w:sz w:val="28"/>
      <w:szCs w:val="28"/>
    </w:rPr>
  </w:style>
  <w:style w:type="character" w:customStyle="1" w:styleId="206">
    <w:name w:val="标题 6 Char"/>
    <w:link w:val="194"/>
    <w:qFormat/>
    <w:uiPriority w:val="0"/>
    <w:rPr>
      <w:rFonts w:ascii="Arial" w:hAnsi="Arial" w:eastAsia="黑体" w:cs="Times New Roman"/>
      <w:b/>
      <w:bCs/>
      <w:sz w:val="24"/>
      <w:szCs w:val="24"/>
    </w:rPr>
  </w:style>
  <w:style w:type="character" w:customStyle="1" w:styleId="207">
    <w:name w:val="标题 7 Char"/>
    <w:link w:val="195"/>
    <w:qFormat/>
    <w:uiPriority w:val="0"/>
    <w:rPr>
      <w:rFonts w:ascii="Times New Roman" w:hAnsi="Times New Roman" w:eastAsia="宋体" w:cs="Times New Roman"/>
      <w:b/>
      <w:bCs/>
      <w:sz w:val="24"/>
      <w:szCs w:val="24"/>
    </w:rPr>
  </w:style>
  <w:style w:type="character" w:customStyle="1" w:styleId="208">
    <w:name w:val="标题 8 Char"/>
    <w:link w:val="196"/>
    <w:qFormat/>
    <w:uiPriority w:val="0"/>
    <w:rPr>
      <w:rFonts w:ascii="Arial" w:hAnsi="Arial" w:eastAsia="黑体" w:cs="Times New Roman"/>
      <w:sz w:val="24"/>
      <w:szCs w:val="24"/>
    </w:rPr>
  </w:style>
  <w:style w:type="character" w:customStyle="1" w:styleId="209">
    <w:name w:val="标题 9 Char"/>
    <w:link w:val="197"/>
    <w:qFormat/>
    <w:uiPriority w:val="0"/>
    <w:rPr>
      <w:rFonts w:ascii="Arial" w:hAnsi="Arial" w:eastAsia="黑体" w:cs="Times New Roman"/>
      <w:szCs w:val="21"/>
    </w:rPr>
  </w:style>
  <w:style w:type="paragraph" w:customStyle="1" w:styleId="210">
    <w:name w:val="列表 31"/>
    <w:basedOn w:val="1"/>
    <w:qFormat/>
    <w:uiPriority w:val="0"/>
    <w:pPr>
      <w:ind w:left="100" w:hanging="200"/>
    </w:pPr>
    <w:rPr>
      <w:rFonts w:ascii="Times New Roman" w:hAnsi="Times New Roman"/>
      <w:szCs w:val="21"/>
    </w:rPr>
  </w:style>
  <w:style w:type="paragraph" w:customStyle="1" w:styleId="211">
    <w:name w:val="目录 71"/>
    <w:basedOn w:val="1"/>
    <w:next w:val="1"/>
    <w:semiHidden/>
    <w:qFormat/>
    <w:uiPriority w:val="0"/>
    <w:pPr>
      <w:ind w:left="1260"/>
      <w:jc w:val="left"/>
    </w:pPr>
    <w:rPr>
      <w:rFonts w:ascii="Times New Roman" w:hAnsi="Times New Roman"/>
      <w:szCs w:val="21"/>
    </w:rPr>
  </w:style>
  <w:style w:type="paragraph" w:customStyle="1" w:styleId="212">
    <w:name w:val="文档结构图1"/>
    <w:basedOn w:val="1"/>
    <w:link w:val="213"/>
    <w:semiHidden/>
    <w:qFormat/>
    <w:uiPriority w:val="0"/>
    <w:pPr>
      <w:shd w:val="clear" w:color="auto" w:fill="000080"/>
    </w:pPr>
    <w:rPr>
      <w:rFonts w:ascii="Times New Roman" w:hAnsi="Times New Roman"/>
      <w:sz w:val="20"/>
      <w:szCs w:val="21"/>
    </w:rPr>
  </w:style>
  <w:style w:type="character" w:customStyle="1" w:styleId="213">
    <w:name w:val="文档结构图 Char"/>
    <w:link w:val="212"/>
    <w:semiHidden/>
    <w:qFormat/>
    <w:uiPriority w:val="0"/>
    <w:rPr>
      <w:rFonts w:ascii="Times New Roman" w:hAnsi="Times New Roman" w:eastAsia="宋体" w:cs="Times New Roman"/>
      <w:szCs w:val="21"/>
      <w:shd w:val="clear" w:color="auto" w:fill="000080"/>
    </w:rPr>
  </w:style>
  <w:style w:type="paragraph" w:customStyle="1" w:styleId="214">
    <w:name w:val="批注文字1"/>
    <w:basedOn w:val="1"/>
    <w:link w:val="215"/>
    <w:unhideWhenUsed/>
    <w:qFormat/>
    <w:uiPriority w:val="0"/>
    <w:pPr>
      <w:jc w:val="left"/>
    </w:pPr>
  </w:style>
  <w:style w:type="character" w:customStyle="1" w:styleId="215">
    <w:name w:val="批注文字 Char"/>
    <w:link w:val="214"/>
    <w:qFormat/>
    <w:uiPriority w:val="99"/>
  </w:style>
  <w:style w:type="paragraph" w:customStyle="1" w:styleId="216">
    <w:name w:val="正文文本 31"/>
    <w:basedOn w:val="1"/>
    <w:link w:val="217"/>
    <w:qFormat/>
    <w:uiPriority w:val="0"/>
    <w:rPr>
      <w:rFonts w:ascii="仿宋_GB2312" w:hAnsi="Arial" w:eastAsia="仿宋_GB2312"/>
      <w:sz w:val="32"/>
      <w:szCs w:val="32"/>
    </w:rPr>
  </w:style>
  <w:style w:type="character" w:customStyle="1" w:styleId="217">
    <w:name w:val="正文文本 3 Char"/>
    <w:link w:val="216"/>
    <w:qFormat/>
    <w:uiPriority w:val="0"/>
    <w:rPr>
      <w:rFonts w:ascii="仿宋_GB2312" w:hAnsi="Arial" w:eastAsia="仿宋_GB2312" w:cs="Times New Roman"/>
      <w:sz w:val="32"/>
      <w:szCs w:val="32"/>
    </w:rPr>
  </w:style>
  <w:style w:type="paragraph" w:customStyle="1" w:styleId="218">
    <w:name w:val="正文文本11"/>
    <w:basedOn w:val="1"/>
    <w:next w:val="1"/>
    <w:link w:val="219"/>
    <w:qFormat/>
    <w:uiPriority w:val="99"/>
    <w:rPr>
      <w:rFonts w:ascii="楷体_GB2312" w:hAnsi="Arial" w:eastAsia="楷体_GB2312"/>
      <w:sz w:val="28"/>
      <w:szCs w:val="28"/>
    </w:rPr>
  </w:style>
  <w:style w:type="character" w:customStyle="1" w:styleId="219">
    <w:name w:val="正文文本 Char"/>
    <w:link w:val="218"/>
    <w:qFormat/>
    <w:uiPriority w:val="99"/>
    <w:rPr>
      <w:rFonts w:ascii="楷体_GB2312" w:hAnsi="Arial" w:eastAsia="楷体_GB2312" w:cs="Times New Roman"/>
      <w:sz w:val="28"/>
      <w:szCs w:val="28"/>
    </w:rPr>
  </w:style>
  <w:style w:type="paragraph" w:customStyle="1" w:styleId="220">
    <w:name w:val="正文文本缩进1"/>
    <w:basedOn w:val="1"/>
    <w:link w:val="221"/>
    <w:unhideWhenUsed/>
    <w:qFormat/>
    <w:uiPriority w:val="99"/>
    <w:pPr>
      <w:spacing w:after="120"/>
      <w:ind w:left="420"/>
    </w:pPr>
  </w:style>
  <w:style w:type="character" w:customStyle="1" w:styleId="221">
    <w:name w:val="正文文本缩进 Char"/>
    <w:link w:val="220"/>
    <w:qFormat/>
    <w:uiPriority w:val="99"/>
  </w:style>
  <w:style w:type="paragraph" w:customStyle="1" w:styleId="222">
    <w:name w:val="列表 21"/>
    <w:basedOn w:val="1"/>
    <w:qFormat/>
    <w:uiPriority w:val="0"/>
    <w:pPr>
      <w:ind w:left="100" w:hanging="200"/>
    </w:pPr>
    <w:rPr>
      <w:rFonts w:ascii="Times New Roman" w:hAnsi="Times New Roman"/>
      <w:szCs w:val="21"/>
    </w:rPr>
  </w:style>
  <w:style w:type="paragraph" w:customStyle="1" w:styleId="223">
    <w:name w:val="目录 51"/>
    <w:basedOn w:val="1"/>
    <w:next w:val="1"/>
    <w:semiHidden/>
    <w:qFormat/>
    <w:uiPriority w:val="0"/>
    <w:pPr>
      <w:ind w:left="840"/>
      <w:jc w:val="left"/>
    </w:pPr>
    <w:rPr>
      <w:rFonts w:ascii="Times New Roman" w:hAnsi="Times New Roman"/>
      <w:szCs w:val="21"/>
    </w:rPr>
  </w:style>
  <w:style w:type="paragraph" w:customStyle="1" w:styleId="224">
    <w:name w:val="目录 31"/>
    <w:basedOn w:val="1"/>
    <w:next w:val="1"/>
    <w:semiHidden/>
    <w:qFormat/>
    <w:uiPriority w:val="0"/>
    <w:pPr>
      <w:ind w:left="420"/>
      <w:jc w:val="left"/>
    </w:pPr>
    <w:rPr>
      <w:rFonts w:ascii="Times New Roman" w:hAnsi="Times New Roman"/>
      <w:i/>
      <w:iCs/>
      <w:szCs w:val="24"/>
    </w:rPr>
  </w:style>
  <w:style w:type="paragraph" w:customStyle="1" w:styleId="225">
    <w:name w:val="纯文本11"/>
    <w:basedOn w:val="1"/>
    <w:next w:val="190"/>
    <w:link w:val="226"/>
    <w:qFormat/>
    <w:uiPriority w:val="0"/>
    <w:rPr>
      <w:rFonts w:ascii="宋体" w:hAnsi="Courier New"/>
      <w:sz w:val="20"/>
      <w:szCs w:val="21"/>
    </w:rPr>
  </w:style>
  <w:style w:type="character" w:customStyle="1" w:styleId="226">
    <w:name w:val="纯文本 Char"/>
    <w:link w:val="225"/>
    <w:qFormat/>
    <w:uiPriority w:val="0"/>
    <w:rPr>
      <w:rFonts w:ascii="宋体" w:hAnsi="Courier New" w:eastAsia="宋体" w:cs="Courier New"/>
      <w:szCs w:val="21"/>
    </w:rPr>
  </w:style>
  <w:style w:type="paragraph" w:customStyle="1" w:styleId="227">
    <w:name w:val="目录 81"/>
    <w:basedOn w:val="1"/>
    <w:next w:val="1"/>
    <w:semiHidden/>
    <w:qFormat/>
    <w:uiPriority w:val="0"/>
    <w:pPr>
      <w:ind w:left="1470"/>
      <w:jc w:val="left"/>
    </w:pPr>
    <w:rPr>
      <w:rFonts w:ascii="Times New Roman" w:hAnsi="Times New Roman"/>
      <w:szCs w:val="21"/>
    </w:rPr>
  </w:style>
  <w:style w:type="paragraph" w:customStyle="1" w:styleId="228">
    <w:name w:val="日期1"/>
    <w:basedOn w:val="1"/>
    <w:next w:val="1"/>
    <w:link w:val="229"/>
    <w:qFormat/>
    <w:uiPriority w:val="0"/>
    <w:rPr>
      <w:rFonts w:ascii="Times New Roman" w:hAnsi="Times New Roman"/>
      <w:sz w:val="24"/>
      <w:szCs w:val="24"/>
    </w:rPr>
  </w:style>
  <w:style w:type="character" w:customStyle="1" w:styleId="229">
    <w:name w:val="日期 Char"/>
    <w:link w:val="228"/>
    <w:qFormat/>
    <w:uiPriority w:val="0"/>
    <w:rPr>
      <w:rFonts w:ascii="Times New Roman" w:hAnsi="Times New Roman" w:eastAsia="宋体" w:cs="Times New Roman"/>
      <w:sz w:val="24"/>
      <w:szCs w:val="24"/>
    </w:rPr>
  </w:style>
  <w:style w:type="paragraph" w:customStyle="1" w:styleId="230">
    <w:name w:val="正文文本缩进 21"/>
    <w:basedOn w:val="1"/>
    <w:link w:val="231"/>
    <w:qFormat/>
    <w:uiPriority w:val="0"/>
    <w:pPr>
      <w:ind w:left="630" w:firstLine="645"/>
    </w:pPr>
    <w:rPr>
      <w:rFonts w:ascii="Arial" w:hAnsi="Arial" w:eastAsia="仿宋_GB2312"/>
      <w:sz w:val="32"/>
      <w:szCs w:val="32"/>
    </w:rPr>
  </w:style>
  <w:style w:type="character" w:customStyle="1" w:styleId="231">
    <w:name w:val="正文文本缩进 2 Char"/>
    <w:link w:val="230"/>
    <w:qFormat/>
    <w:uiPriority w:val="0"/>
    <w:rPr>
      <w:rFonts w:ascii="Arial" w:hAnsi="Arial" w:eastAsia="仿宋_GB2312" w:cs="Arial"/>
      <w:sz w:val="32"/>
      <w:szCs w:val="32"/>
    </w:rPr>
  </w:style>
  <w:style w:type="paragraph" w:customStyle="1" w:styleId="232">
    <w:name w:val="批注框文本1"/>
    <w:basedOn w:val="1"/>
    <w:link w:val="233"/>
    <w:qFormat/>
    <w:uiPriority w:val="0"/>
    <w:rPr>
      <w:rFonts w:ascii="Times New Roman" w:hAnsi="Times New Roman"/>
      <w:sz w:val="18"/>
      <w:szCs w:val="18"/>
    </w:rPr>
  </w:style>
  <w:style w:type="character" w:customStyle="1" w:styleId="233">
    <w:name w:val="批注框文本 Char"/>
    <w:link w:val="232"/>
    <w:qFormat/>
    <w:uiPriority w:val="0"/>
    <w:rPr>
      <w:rFonts w:ascii="Times New Roman" w:hAnsi="Times New Roman" w:eastAsia="宋体" w:cs="Times New Roman"/>
      <w:sz w:val="18"/>
      <w:szCs w:val="18"/>
    </w:rPr>
  </w:style>
  <w:style w:type="paragraph" w:customStyle="1" w:styleId="234">
    <w:name w:val="页脚1"/>
    <w:basedOn w:val="1"/>
    <w:link w:val="235"/>
    <w:qFormat/>
    <w:uiPriority w:val="99"/>
    <w:pPr>
      <w:tabs>
        <w:tab w:val="center" w:pos="4153"/>
        <w:tab w:val="right" w:pos="8306"/>
      </w:tabs>
      <w:jc w:val="left"/>
    </w:pPr>
    <w:rPr>
      <w:rFonts w:ascii="Times New Roman" w:hAnsi="Times New Roman"/>
      <w:sz w:val="18"/>
      <w:szCs w:val="18"/>
    </w:rPr>
  </w:style>
  <w:style w:type="character" w:customStyle="1" w:styleId="235">
    <w:name w:val="页脚 Char"/>
    <w:link w:val="234"/>
    <w:qFormat/>
    <w:uiPriority w:val="99"/>
    <w:rPr>
      <w:rFonts w:ascii="Times New Roman" w:hAnsi="Times New Roman" w:eastAsia="宋体" w:cs="Times New Roman"/>
      <w:sz w:val="18"/>
      <w:szCs w:val="18"/>
    </w:rPr>
  </w:style>
  <w:style w:type="paragraph" w:customStyle="1" w:styleId="236">
    <w:name w:val="寄信人地址1"/>
    <w:basedOn w:val="1"/>
    <w:unhideWhenUsed/>
    <w:qFormat/>
    <w:uiPriority w:val="99"/>
    <w:rPr>
      <w:rFonts w:ascii="Arial" w:hAnsi="Arial"/>
      <w:szCs w:val="24"/>
    </w:rPr>
  </w:style>
  <w:style w:type="paragraph" w:customStyle="1" w:styleId="237">
    <w:name w:val="页眉1"/>
    <w:basedOn w:val="1"/>
    <w:link w:val="238"/>
    <w:qFormat/>
    <w:uiPriority w:val="0"/>
    <w:pPr>
      <w:pBdr>
        <w:bottom w:val="single" w:color="000000" w:sz="6" w:space="1"/>
      </w:pBdr>
      <w:tabs>
        <w:tab w:val="center" w:pos="4153"/>
        <w:tab w:val="right" w:pos="8306"/>
      </w:tabs>
      <w:jc w:val="center"/>
    </w:pPr>
    <w:rPr>
      <w:rFonts w:ascii="Times New Roman" w:hAnsi="Times New Roman"/>
      <w:sz w:val="18"/>
      <w:szCs w:val="18"/>
    </w:rPr>
  </w:style>
  <w:style w:type="character" w:customStyle="1" w:styleId="238">
    <w:name w:val="页眉 Char"/>
    <w:link w:val="237"/>
    <w:qFormat/>
    <w:uiPriority w:val="0"/>
    <w:rPr>
      <w:rFonts w:ascii="Times New Roman" w:hAnsi="Times New Roman" w:eastAsia="宋体" w:cs="Times New Roman"/>
      <w:sz w:val="18"/>
      <w:szCs w:val="18"/>
    </w:rPr>
  </w:style>
  <w:style w:type="paragraph" w:customStyle="1" w:styleId="239">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0">
    <w:name w:val="目录 41"/>
    <w:basedOn w:val="1"/>
    <w:next w:val="1"/>
    <w:semiHidden/>
    <w:qFormat/>
    <w:uiPriority w:val="0"/>
    <w:pPr>
      <w:ind w:left="630"/>
      <w:jc w:val="left"/>
    </w:pPr>
    <w:rPr>
      <w:rFonts w:ascii="Times New Roman" w:hAnsi="Times New Roman"/>
      <w:szCs w:val="21"/>
    </w:rPr>
  </w:style>
  <w:style w:type="paragraph" w:customStyle="1" w:styleId="241">
    <w:name w:val="列表1"/>
    <w:basedOn w:val="1"/>
    <w:qFormat/>
    <w:uiPriority w:val="0"/>
    <w:pPr>
      <w:ind w:left="200" w:hanging="200"/>
    </w:pPr>
    <w:rPr>
      <w:rFonts w:ascii="Times New Roman" w:hAnsi="Times New Roman"/>
      <w:szCs w:val="21"/>
    </w:rPr>
  </w:style>
  <w:style w:type="paragraph" w:customStyle="1" w:styleId="242">
    <w:name w:val="目录 61"/>
    <w:basedOn w:val="1"/>
    <w:next w:val="1"/>
    <w:semiHidden/>
    <w:qFormat/>
    <w:uiPriority w:val="0"/>
    <w:pPr>
      <w:ind w:left="1050"/>
      <w:jc w:val="left"/>
    </w:pPr>
    <w:rPr>
      <w:rFonts w:ascii="Times New Roman" w:hAnsi="Times New Roman"/>
      <w:szCs w:val="21"/>
    </w:rPr>
  </w:style>
  <w:style w:type="paragraph" w:customStyle="1" w:styleId="243">
    <w:name w:val="正文文本缩进 31"/>
    <w:basedOn w:val="1"/>
    <w:link w:val="244"/>
    <w:qFormat/>
    <w:uiPriority w:val="0"/>
    <w:pPr>
      <w:ind w:left="645" w:firstLine="645"/>
    </w:pPr>
    <w:rPr>
      <w:rFonts w:ascii="Arial" w:hAnsi="Arial" w:eastAsia="仿宋_GB2312"/>
      <w:color w:val="FFFF00"/>
      <w:sz w:val="32"/>
      <w:szCs w:val="32"/>
    </w:rPr>
  </w:style>
  <w:style w:type="character" w:customStyle="1" w:styleId="244">
    <w:name w:val="正文文本缩进 3 Char"/>
    <w:link w:val="243"/>
    <w:qFormat/>
    <w:uiPriority w:val="0"/>
    <w:rPr>
      <w:rFonts w:ascii="Arial" w:hAnsi="Arial" w:eastAsia="仿宋_GB2312" w:cs="Arial"/>
      <w:color w:val="FFFF00"/>
      <w:sz w:val="32"/>
      <w:szCs w:val="32"/>
    </w:rPr>
  </w:style>
  <w:style w:type="paragraph" w:customStyle="1" w:styleId="245">
    <w:name w:val="图表目录1"/>
    <w:basedOn w:val="1"/>
    <w:next w:val="1"/>
    <w:semiHidden/>
    <w:qFormat/>
    <w:uiPriority w:val="0"/>
    <w:pPr>
      <w:ind w:left="840" w:hanging="420"/>
    </w:pPr>
    <w:rPr>
      <w:rFonts w:ascii="Times New Roman" w:hAnsi="Times New Roman"/>
      <w:szCs w:val="21"/>
    </w:rPr>
  </w:style>
  <w:style w:type="paragraph" w:customStyle="1" w:styleId="246">
    <w:name w:val="目录 21"/>
    <w:basedOn w:val="1"/>
    <w:next w:val="1"/>
    <w:semiHidden/>
    <w:qFormat/>
    <w:uiPriority w:val="0"/>
    <w:pPr>
      <w:ind w:left="210"/>
      <w:jc w:val="left"/>
    </w:pPr>
    <w:rPr>
      <w:rFonts w:ascii="Times New Roman" w:hAnsi="Times New Roman"/>
      <w:smallCaps/>
      <w:szCs w:val="24"/>
    </w:rPr>
  </w:style>
  <w:style w:type="paragraph" w:customStyle="1" w:styleId="247">
    <w:name w:val="目录 91"/>
    <w:basedOn w:val="1"/>
    <w:next w:val="1"/>
    <w:semiHidden/>
    <w:qFormat/>
    <w:uiPriority w:val="0"/>
    <w:pPr>
      <w:ind w:left="1680"/>
      <w:jc w:val="left"/>
    </w:pPr>
    <w:rPr>
      <w:rFonts w:ascii="Times New Roman" w:hAnsi="Times New Roman"/>
      <w:szCs w:val="21"/>
    </w:rPr>
  </w:style>
  <w:style w:type="paragraph" w:customStyle="1" w:styleId="248">
    <w:name w:val="正文文本 21"/>
    <w:basedOn w:val="1"/>
    <w:link w:val="249"/>
    <w:qFormat/>
    <w:uiPriority w:val="0"/>
    <w:pPr>
      <w:widowControl/>
      <w:jc w:val="center"/>
    </w:pPr>
    <w:rPr>
      <w:rFonts w:ascii="楷体_GB2312" w:hAnsi="Times New Roman" w:eastAsia="楷体_GB2312"/>
      <w:sz w:val="28"/>
      <w:szCs w:val="28"/>
    </w:rPr>
  </w:style>
  <w:style w:type="character" w:customStyle="1" w:styleId="249">
    <w:name w:val="正文文本 2 Char"/>
    <w:link w:val="248"/>
    <w:qFormat/>
    <w:uiPriority w:val="0"/>
    <w:rPr>
      <w:rFonts w:ascii="楷体_GB2312" w:hAnsi="Times New Roman" w:eastAsia="楷体_GB2312" w:cs="Times New Roman"/>
      <w:sz w:val="28"/>
      <w:szCs w:val="28"/>
    </w:rPr>
  </w:style>
  <w:style w:type="paragraph" w:customStyle="1" w:styleId="250">
    <w:name w:val="普通(网站)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1">
    <w:name w:val="索引 11"/>
    <w:basedOn w:val="1"/>
    <w:next w:val="1"/>
    <w:semiHidden/>
    <w:qFormat/>
    <w:uiPriority w:val="0"/>
    <w:pPr>
      <w:spacing w:line="240" w:lineRule="atLeast"/>
    </w:pPr>
    <w:rPr>
      <w:rFonts w:ascii="Times New Roman" w:hAnsi="Times New Roman"/>
      <w:b/>
      <w:bCs/>
      <w:szCs w:val="21"/>
    </w:rPr>
  </w:style>
  <w:style w:type="paragraph" w:customStyle="1" w:styleId="252">
    <w:name w:val="批注主题1"/>
    <w:basedOn w:val="214"/>
    <w:next w:val="214"/>
    <w:link w:val="253"/>
    <w:qFormat/>
    <w:uiPriority w:val="0"/>
    <w:rPr>
      <w:rFonts w:ascii="Times New Roman" w:hAnsi="Times New Roman"/>
      <w:b/>
      <w:bCs/>
      <w:sz w:val="20"/>
      <w:szCs w:val="21"/>
    </w:rPr>
  </w:style>
  <w:style w:type="character" w:customStyle="1" w:styleId="253">
    <w:name w:val="批注主题 Char"/>
    <w:link w:val="252"/>
    <w:qFormat/>
    <w:uiPriority w:val="0"/>
    <w:rPr>
      <w:rFonts w:ascii="Times New Roman" w:hAnsi="Times New Roman" w:eastAsia="宋体" w:cs="Times New Roman"/>
      <w:b/>
      <w:bCs/>
      <w:szCs w:val="21"/>
    </w:rPr>
  </w:style>
  <w:style w:type="paragraph" w:customStyle="1" w:styleId="254">
    <w:name w:val="正文首行缩进1"/>
    <w:basedOn w:val="218"/>
    <w:link w:val="255"/>
    <w:qFormat/>
    <w:uiPriority w:val="0"/>
    <w:pPr>
      <w:spacing w:line="360" w:lineRule="auto"/>
      <w:ind w:firstLine="200"/>
    </w:pPr>
    <w:rPr>
      <w:rFonts w:ascii="仿宋_GB2312" w:hAnsi="Times New Roman" w:eastAsia="仿宋_GB2312"/>
      <w:sz w:val="30"/>
      <w:szCs w:val="30"/>
    </w:rPr>
  </w:style>
  <w:style w:type="character" w:customStyle="1" w:styleId="255">
    <w:name w:val="正文首行缩进 Char"/>
    <w:link w:val="254"/>
    <w:qFormat/>
    <w:uiPriority w:val="0"/>
    <w:rPr>
      <w:rFonts w:ascii="仿宋_GB2312" w:hAnsi="Times New Roman" w:eastAsia="仿宋_GB2312" w:cs="Times New Roman"/>
      <w:sz w:val="30"/>
      <w:szCs w:val="30"/>
    </w:rPr>
  </w:style>
  <w:style w:type="paragraph" w:customStyle="1" w:styleId="256">
    <w:name w:val="正文首行缩进 21"/>
    <w:basedOn w:val="220"/>
    <w:link w:val="257"/>
    <w:qFormat/>
    <w:uiPriority w:val="99"/>
    <w:pPr>
      <w:spacing w:after="0" w:line="360" w:lineRule="auto"/>
      <w:ind w:left="0" w:firstLine="420"/>
    </w:pPr>
    <w:rPr>
      <w:rFonts w:ascii="宋体" w:hAnsi="宋体"/>
      <w:sz w:val="20"/>
      <w:szCs w:val="20"/>
    </w:rPr>
  </w:style>
  <w:style w:type="character" w:customStyle="1" w:styleId="257">
    <w:name w:val="正文首行缩进 2 Char"/>
    <w:link w:val="256"/>
    <w:qFormat/>
    <w:uiPriority w:val="99"/>
    <w:rPr>
      <w:rFonts w:ascii="宋体" w:hAnsi="宋体" w:eastAsia="宋体" w:cs="Times New Roman"/>
      <w:szCs w:val="20"/>
    </w:rPr>
  </w:style>
  <w:style w:type="table" w:customStyle="1" w:styleId="258">
    <w:name w:val="网格型11"/>
    <w:basedOn w:val="199"/>
    <w:qFormat/>
    <w:uiPriority w:val="0"/>
    <w:pPr>
      <w:widowControl w:val="0"/>
      <w:jc w:val="both"/>
    </w:pPr>
  </w:style>
  <w:style w:type="character" w:customStyle="1" w:styleId="259">
    <w:name w:val="要点1"/>
    <w:link w:val="1"/>
    <w:qFormat/>
    <w:uiPriority w:val="0"/>
    <w:rPr>
      <w:b/>
      <w:bCs/>
    </w:rPr>
  </w:style>
  <w:style w:type="character" w:customStyle="1" w:styleId="260">
    <w:name w:val="页码1"/>
    <w:link w:val="1"/>
    <w:qFormat/>
    <w:uiPriority w:val="0"/>
  </w:style>
  <w:style w:type="character" w:customStyle="1" w:styleId="261">
    <w:name w:val="已访问的超链接1"/>
    <w:link w:val="1"/>
    <w:qFormat/>
    <w:uiPriority w:val="0"/>
    <w:rPr>
      <w:color w:val="800080"/>
      <w:u w:val="single"/>
    </w:rPr>
  </w:style>
  <w:style w:type="character" w:customStyle="1" w:styleId="262">
    <w:name w:val="超链接1"/>
    <w:link w:val="1"/>
    <w:qFormat/>
    <w:uiPriority w:val="99"/>
    <w:rPr>
      <w:color w:val="0000FF"/>
      <w:u w:val="single"/>
    </w:rPr>
  </w:style>
  <w:style w:type="character" w:customStyle="1" w:styleId="263">
    <w:name w:val="批注引用1"/>
    <w:basedOn w:val="198"/>
    <w:link w:val="1"/>
    <w:qFormat/>
    <w:uiPriority w:val="0"/>
    <w:rPr>
      <w:sz w:val="21"/>
      <w:szCs w:val="21"/>
    </w:rPr>
  </w:style>
  <w:style w:type="paragraph" w:customStyle="1" w:styleId="264">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Arial" w:hAnsi="Arial"/>
      <w:sz w:val="24"/>
    </w:rPr>
  </w:style>
  <w:style w:type="character" w:customStyle="1" w:styleId="265">
    <w:name w:val="font5 Char"/>
    <w:link w:val="1"/>
    <w:qFormat/>
    <w:uiPriority w:val="0"/>
    <w:rPr>
      <w:rFonts w:ascii="宋体" w:hAnsi="宋体" w:eastAsia="宋体"/>
      <w:sz w:val="28"/>
      <w:szCs w:val="28"/>
      <w:lang w:val="en-US" w:eastAsia="zh-CN" w:bidi="ar-SA"/>
    </w:rPr>
  </w:style>
  <w:style w:type="character" w:customStyle="1" w:styleId="266">
    <w:name w:val="二级目录 Char"/>
    <w:link w:val="267"/>
    <w:qFormat/>
    <w:uiPriority w:val="0"/>
    <w:rPr>
      <w:rFonts w:ascii="Calibri" w:hAnsi="Calibri"/>
      <w:b/>
      <w:sz w:val="30"/>
      <w:szCs w:val="28"/>
    </w:rPr>
  </w:style>
  <w:style w:type="paragraph" w:customStyle="1" w:styleId="267">
    <w:name w:val="二级目录"/>
    <w:next w:val="1"/>
    <w:link w:val="266"/>
    <w:qFormat/>
    <w:uiPriority w:val="0"/>
    <w:pPr>
      <w:tabs>
        <w:tab w:val="left" w:pos="907"/>
        <w:tab w:val="left" w:pos="1145"/>
      </w:tabs>
      <w:ind w:left="907" w:hanging="907"/>
      <w:outlineLvl w:val="1"/>
    </w:pPr>
    <w:rPr>
      <w:rFonts w:hint="default" w:ascii="Calibri" w:hAnsi="Calibri" w:eastAsia="宋体" w:cs="Times New Roman"/>
      <w:b/>
      <w:sz w:val="30"/>
      <w:szCs w:val="28"/>
      <w:lang w:val="en-US" w:eastAsia="zh-CN" w:bidi="ar-SA"/>
    </w:rPr>
  </w:style>
  <w:style w:type="character" w:customStyle="1" w:styleId="268">
    <w:name w:val="列出段落 Char"/>
    <w:link w:val="269"/>
    <w:qFormat/>
    <w:uiPriority w:val="0"/>
    <w:rPr>
      <w:rFonts w:ascii="Calibri" w:hAnsi="Calibri"/>
      <w:sz w:val="24"/>
      <w:szCs w:val="24"/>
      <w:lang w:eastAsia="en-US" w:bidi="en-US"/>
    </w:rPr>
  </w:style>
  <w:style w:type="paragraph" w:customStyle="1" w:styleId="269">
    <w:name w:val="列出段落1"/>
    <w:basedOn w:val="1"/>
    <w:link w:val="268"/>
    <w:qFormat/>
    <w:uiPriority w:val="0"/>
    <w:pPr>
      <w:widowControl/>
      <w:ind w:left="720"/>
      <w:contextualSpacing/>
      <w:jc w:val="left"/>
    </w:pPr>
    <w:rPr>
      <w:sz w:val="24"/>
      <w:szCs w:val="24"/>
      <w:lang w:eastAsia="en-US" w:bidi="en-US"/>
    </w:rPr>
  </w:style>
  <w:style w:type="paragraph" w:customStyle="1" w:styleId="270">
    <w:name w:val="Body Text(ch)"/>
    <w:basedOn w:val="1"/>
    <w:next w:val="218"/>
    <w:qFormat/>
    <w:uiPriority w:val="0"/>
    <w:pPr>
      <w:spacing w:after="120"/>
    </w:pPr>
    <w:rPr>
      <w:rFonts w:ascii="宋体" w:hAnsi="Arial"/>
      <w:bCs/>
      <w:iCs/>
      <w:szCs w:val="24"/>
    </w:rPr>
  </w:style>
  <w:style w:type="paragraph" w:customStyle="1" w:styleId="271">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3">
    <w:name w:val="Char"/>
    <w:basedOn w:val="1"/>
    <w:qFormat/>
    <w:uiPriority w:val="0"/>
    <w:pPr>
      <w:tabs>
        <w:tab w:val="left" w:pos="360"/>
      </w:tabs>
      <w:ind w:firstLine="200"/>
    </w:pPr>
    <w:rPr>
      <w:rFonts w:ascii="Times New Roman" w:hAnsi="Times New Roman"/>
      <w:sz w:val="28"/>
      <w:szCs w:val="30"/>
    </w:rPr>
  </w:style>
  <w:style w:type="paragraph" w:customStyle="1" w:styleId="274">
    <w:name w:val="Char1"/>
    <w:basedOn w:val="212"/>
    <w:qFormat/>
    <w:uiPriority w:val="0"/>
    <w:rPr>
      <w:rFonts w:ascii="Tahoma" w:hAnsi="Tahoma"/>
      <w:sz w:val="24"/>
      <w:szCs w:val="24"/>
    </w:rPr>
  </w:style>
  <w:style w:type="paragraph" w:customStyle="1" w:styleId="27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6">
    <w:name w:val="table_lines"/>
    <w:basedOn w:val="1"/>
    <w:qFormat/>
    <w:uiPriority w:val="0"/>
    <w:pPr>
      <w:widowControl/>
      <w:jc w:val="left"/>
    </w:pPr>
    <w:rPr>
      <w:rFonts w:ascii="Times New Roman" w:hAnsi="Times New Roman"/>
      <w:sz w:val="20"/>
      <w:szCs w:val="20"/>
      <w:lang w:val="de-DE" w:eastAsia="de-DE"/>
    </w:rPr>
  </w:style>
  <w:style w:type="paragraph" w:customStyle="1" w:styleId="277">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9">
    <w:name w:val="Char Char Char Char"/>
    <w:basedOn w:val="212"/>
    <w:qFormat/>
    <w:uiPriority w:val="0"/>
    <w:pPr>
      <w:spacing w:line="360" w:lineRule="auto"/>
    </w:pPr>
    <w:rPr>
      <w:rFonts w:ascii="Tahoma" w:hAnsi="Tahoma"/>
      <w:sz w:val="24"/>
      <w:szCs w:val="24"/>
    </w:rPr>
  </w:style>
  <w:style w:type="paragraph" w:customStyle="1" w:styleId="280">
    <w:name w:val="列出段落"/>
    <w:basedOn w:val="1"/>
    <w:qFormat/>
    <w:uiPriority w:val="99"/>
    <w:pPr>
      <w:widowControl/>
      <w:ind w:left="720"/>
      <w:contextualSpacing/>
      <w:jc w:val="left"/>
    </w:pPr>
    <w:rPr>
      <w:sz w:val="24"/>
      <w:szCs w:val="24"/>
      <w:lang w:eastAsia="en-US" w:bidi="en-US"/>
    </w:rPr>
  </w:style>
  <w:style w:type="paragraph" w:customStyle="1" w:styleId="281">
    <w:name w:val="4"/>
    <w:basedOn w:val="1"/>
    <w:next w:val="243"/>
    <w:qFormat/>
    <w:uiPriority w:val="0"/>
    <w:pPr>
      <w:spacing w:line="360" w:lineRule="auto"/>
      <w:ind w:firstLine="420"/>
    </w:pPr>
    <w:rPr>
      <w:rFonts w:ascii="Times New Roman" w:hAnsi="Times New Roman"/>
      <w:color w:val="FF0000"/>
      <w:sz w:val="24"/>
      <w:szCs w:val="24"/>
    </w:rPr>
  </w:style>
  <w:style w:type="paragraph" w:customStyle="1" w:styleId="28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3">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284">
    <w:name w:val="样式1"/>
    <w:basedOn w:val="1"/>
    <w:qFormat/>
    <w:uiPriority w:val="0"/>
    <w:pPr>
      <w:numPr>
        <w:ilvl w:val="0"/>
        <w:numId w:val="3"/>
      </w:numPr>
    </w:pPr>
    <w:rPr>
      <w:rFonts w:ascii="宋体" w:hAnsi="宋体"/>
      <w:szCs w:val="21"/>
    </w:rPr>
  </w:style>
  <w:style w:type="paragraph" w:customStyle="1" w:styleId="28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7">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288">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289">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3">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5">
    <w:name w:val="Char Char Char Char1"/>
    <w:basedOn w:val="212"/>
    <w:qFormat/>
    <w:uiPriority w:val="0"/>
    <w:pPr>
      <w:spacing w:line="360" w:lineRule="auto"/>
    </w:pPr>
    <w:rPr>
      <w:rFonts w:ascii="Tahoma" w:hAnsi="Tahoma"/>
      <w:sz w:val="24"/>
      <w:szCs w:val="24"/>
    </w:rPr>
  </w:style>
  <w:style w:type="paragraph" w:customStyle="1" w:styleId="296">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29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8">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299">
    <w:name w:val="_Style 112"/>
    <w:semiHidden/>
    <w:qFormat/>
    <w:uiPriority w:val="99"/>
    <w:rPr>
      <w:rFonts w:hint="default" w:ascii="Times New Roman" w:hAnsi="Times New Roman" w:eastAsia="宋体" w:cs="Times New Roman"/>
      <w:sz w:val="21"/>
      <w:szCs w:val="21"/>
      <w:lang w:val="en-US" w:eastAsia="zh-CN" w:bidi="ar-SA"/>
    </w:rPr>
  </w:style>
  <w:style w:type="paragraph" w:customStyle="1" w:styleId="300">
    <w:name w:val="无间隔"/>
    <w:qFormat/>
    <w:uiPriority w:val="0"/>
    <w:pPr>
      <w:widowControl w:val="0"/>
      <w:jc w:val="both"/>
    </w:pPr>
    <w:rPr>
      <w:rFonts w:hint="default" w:ascii="Times New Roman" w:hAnsi="Times New Roman" w:eastAsia="宋体" w:cs="Times New Roman"/>
      <w:sz w:val="21"/>
      <w:szCs w:val="21"/>
      <w:lang w:val="en-US" w:eastAsia="zh-CN" w:bidi="ar-SA"/>
    </w:rPr>
  </w:style>
  <w:style w:type="paragraph" w:customStyle="1" w:styleId="301">
    <w:name w:val="正文文本1"/>
    <w:basedOn w:val="1"/>
    <w:next w:val="1"/>
    <w:qFormat/>
    <w:uiPriority w:val="0"/>
    <w:rPr>
      <w:rFonts w:ascii="仿宋_GB2312" w:eastAsia="仿宋_GB2312"/>
      <w:sz w:val="24"/>
      <w:szCs w:val="20"/>
    </w:rPr>
  </w:style>
  <w:style w:type="character" w:customStyle="1" w:styleId="302">
    <w:name w:val="标题 6 Char1"/>
    <w:link w:val="1"/>
    <w:semiHidden/>
    <w:qFormat/>
    <w:uiPriority w:val="9"/>
    <w:rPr>
      <w:rFonts w:ascii="Cambria" w:hAnsi="Cambria" w:eastAsia="宋体" w:cs="Times New Roman"/>
      <w:b/>
      <w:bCs/>
      <w:sz w:val="24"/>
      <w:szCs w:val="24"/>
    </w:rPr>
  </w:style>
  <w:style w:type="character" w:customStyle="1" w:styleId="303">
    <w:name w:val="fontstyle11"/>
    <w:link w:val="1"/>
    <w:qFormat/>
    <w:uiPriority w:val="0"/>
    <w:rPr>
      <w:rFonts w:hint="eastAsia" w:ascii="宋体" w:hAnsi="宋体" w:eastAsia="宋体"/>
      <w:color w:val="000000"/>
      <w:sz w:val="22"/>
      <w:szCs w:val="22"/>
    </w:rPr>
  </w:style>
  <w:style w:type="character" w:customStyle="1" w:styleId="304">
    <w:name w:val="fontstyle01"/>
    <w:link w:val="1"/>
    <w:qFormat/>
    <w:uiPriority w:val="0"/>
    <w:rPr>
      <w:rFonts w:ascii="Calibri-Bold" w:hAnsi="Calibri-Bold"/>
      <w:b/>
      <w:bCs/>
      <w:color w:val="000000"/>
      <w:sz w:val="22"/>
      <w:szCs w:val="22"/>
    </w:rPr>
  </w:style>
  <w:style w:type="character" w:customStyle="1" w:styleId="305">
    <w:name w:val="页脚 字符"/>
    <w:link w:val="1"/>
    <w:qFormat/>
    <w:uiPriority w:val="99"/>
    <w:rPr>
      <w:sz w:val="18"/>
      <w:szCs w:val="18"/>
    </w:rPr>
  </w:style>
  <w:style w:type="character" w:customStyle="1" w:styleId="306">
    <w:name w:val="页眉 字符"/>
    <w:link w:val="1"/>
    <w:qFormat/>
    <w:uiPriority w:val="99"/>
    <w:rPr>
      <w:sz w:val="18"/>
      <w:szCs w:val="18"/>
    </w:rPr>
  </w:style>
  <w:style w:type="paragraph" w:customStyle="1" w:styleId="307">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8">
    <w:name w:val="样式 标题 3 + (中文) 黑体 小四 非加粗 段前: 7.8 磅 段后: 0 磅 行距: 固定值 20 磅"/>
    <w:basedOn w:val="191"/>
    <w:next w:val="1"/>
    <w:qFormat/>
    <w:uiPriority w:val="99"/>
    <w:pPr>
      <w:spacing w:before="0" w:after="0" w:line="400" w:lineRule="exact"/>
    </w:pPr>
    <w:rPr>
      <w:rFonts w:eastAsia="黑体"/>
      <w:b w:val="0"/>
      <w:bCs w:val="0"/>
      <w:sz w:val="24"/>
      <w:szCs w:val="24"/>
    </w:rPr>
  </w:style>
  <w:style w:type="paragraph" w:customStyle="1" w:styleId="309">
    <w:name w:val="标题 61"/>
    <w:basedOn w:val="1"/>
    <w:next w:val="1"/>
    <w:unhideWhenUsed/>
    <w:qFormat/>
    <w:uiPriority w:val="0"/>
    <w:pPr>
      <w:keepNext/>
      <w:keepLines/>
      <w:spacing w:before="240" w:after="64" w:line="320" w:lineRule="auto"/>
      <w:outlineLvl w:val="5"/>
    </w:pPr>
    <w:rPr>
      <w:rFonts w:ascii="Calibri Light" w:hAnsi="Calibri Light"/>
      <w:b/>
      <w:bCs/>
      <w:sz w:val="24"/>
      <w:szCs w:val="24"/>
    </w:rPr>
  </w:style>
  <w:style w:type="paragraph" w:customStyle="1" w:styleId="310">
    <w:name w:val="正文_1_0"/>
    <w:basedOn w:val="1"/>
    <w:qFormat/>
    <w:uiPriority w:val="0"/>
    <w:rPr>
      <w:rFonts w:ascii="Times New Roman" w:hAnsi="Times New Roman"/>
      <w:szCs w:val="24"/>
    </w:rPr>
  </w:style>
  <w:style w:type="paragraph" w:customStyle="1" w:styleId="311">
    <w:name w:val="正文缩进2格"/>
    <w:basedOn w:val="1"/>
    <w:unhideWhenUsed/>
    <w:qFormat/>
    <w:uiPriority w:val="0"/>
    <w:pPr>
      <w:spacing w:line="600" w:lineRule="exact"/>
      <w:ind w:firstLine="639"/>
    </w:pPr>
    <w:rPr>
      <w:rFonts w:hint="eastAsia" w:ascii="仿宋_GB2312" w:hAnsi="宋体" w:eastAsia="仿宋_GB2312"/>
      <w:sz w:val="31"/>
      <w:szCs w:val="24"/>
    </w:rPr>
  </w:style>
  <w:style w:type="paragraph" w:customStyle="1" w:styleId="312">
    <w:name w:val="WPSOffice手动目录 1"/>
    <w:qFormat/>
    <w:uiPriority w:val="0"/>
    <w:rPr>
      <w:rFonts w:hint="default" w:ascii="Times New Roman" w:hAnsi="Times New Roman" w:eastAsia="宋体" w:cs="Times New Roman"/>
      <w:lang w:val="en-US" w:eastAsia="zh-CN" w:bidi="ar-SA"/>
    </w:rPr>
  </w:style>
  <w:style w:type="table" w:customStyle="1" w:styleId="313">
    <w:name w:val="网格型1"/>
    <w:basedOn w:val="199"/>
    <w:qFormat/>
    <w:uiPriority w:val="0"/>
    <w:rPr>
      <w:rFonts w:ascii="Calibri" w:hAnsi="Calibri"/>
    </w:rPr>
  </w:style>
  <w:style w:type="character" w:customStyle="1" w:styleId="314">
    <w:name w:val="Heading 1 Char"/>
    <w:link w:val="3"/>
    <w:qFormat/>
    <w:uiPriority w:val="9"/>
    <w:rPr>
      <w:rFonts w:ascii="Arial" w:hAnsi="Arial" w:eastAsia="Arial" w:cs="Arial"/>
      <w:sz w:val="40"/>
      <w:szCs w:val="40"/>
    </w:rPr>
  </w:style>
  <w:style w:type="character" w:customStyle="1" w:styleId="315">
    <w:name w:val="NormalCharacter1"/>
    <w:link w:val="1"/>
    <w:qFormat/>
    <w:uiPriority w:val="0"/>
  </w:style>
  <w:style w:type="paragraph" w:customStyle="1" w:styleId="316">
    <w:name w:val="正文2"/>
    <w:qFormat/>
    <w:uiPriority w:val="0"/>
    <w:pPr>
      <w:widowControl w:val="0"/>
      <w:spacing w:before="156" w:line="360" w:lineRule="auto"/>
      <w:ind w:firstLine="200"/>
      <w:jc w:val="both"/>
    </w:pPr>
    <w:rPr>
      <w:rFonts w:hint="default" w:ascii="Times New Roman" w:hAnsi="Times New Roman" w:eastAsia="宋体" w:cs="Times New Roman"/>
      <w:sz w:val="24"/>
      <w:lang w:val="en-US" w:eastAsia="zh-CN" w:bidi="ar-SA"/>
    </w:rPr>
  </w:style>
  <w:style w:type="paragraph" w:customStyle="1" w:styleId="317">
    <w:name w:val="纯文本1"/>
    <w:basedOn w:val="1"/>
    <w:qFormat/>
    <w:uiPriority w:val="0"/>
    <w:rPr>
      <w:rFonts w:ascii="宋体" w:hAnsi="Courier New" w:eastAsia="宋体" w:cs="Courier New"/>
      <w:szCs w:val="21"/>
    </w:rPr>
  </w:style>
  <w:style w:type="paragraph" w:customStyle="1" w:styleId="318">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character" w:customStyle="1" w:styleId="319">
    <w:name w:val="font11"/>
    <w:link w:val="1"/>
    <w:qFormat/>
    <w:uiPriority w:val="0"/>
    <w:rPr>
      <w:rFonts w:hint="eastAsia" w:ascii="宋体" w:hAnsi="宋体" w:eastAsia="宋体" w:cs="宋体"/>
      <w:color w:val="000000"/>
      <w:sz w:val="16"/>
      <w:szCs w:val="16"/>
      <w:u w:val="none"/>
    </w:rPr>
  </w:style>
  <w:style w:type="character" w:customStyle="1" w:styleId="320">
    <w:name w:val="font21"/>
    <w:link w:val="1"/>
    <w:qFormat/>
    <w:uiPriority w:val="0"/>
    <w:rPr>
      <w:rFonts w:ascii="Times New Roman" w:hAnsi="Times New Roman" w:cs="Times New Roman"/>
      <w:color w:val="000000"/>
      <w:sz w:val="16"/>
      <w:szCs w:val="16"/>
      <w:u w:val="none"/>
    </w:rPr>
  </w:style>
  <w:style w:type="character" w:customStyle="1" w:styleId="321">
    <w:name w:val="font41"/>
    <w:link w:val="1"/>
    <w:qFormat/>
    <w:uiPriority w:val="0"/>
    <w:rPr>
      <w:rFonts w:ascii="Times New Roman" w:hAnsi="Times New Roman" w:cs="Times New Roman"/>
      <w:color w:val="000000"/>
      <w:sz w:val="16"/>
      <w:szCs w:val="16"/>
      <w:u w:val="none"/>
    </w:rPr>
  </w:style>
  <w:style w:type="character" w:customStyle="1" w:styleId="322">
    <w:name w:val="font51"/>
    <w:link w:val="1"/>
    <w:qFormat/>
    <w:uiPriority w:val="0"/>
    <w:rPr>
      <w:rFonts w:ascii="仿宋_GB2312" w:eastAsia="仿宋_GB2312" w:cs="仿宋_GB2312"/>
      <w:color w:val="000000"/>
      <w:sz w:val="16"/>
      <w:szCs w:val="16"/>
      <w:u w:val="none"/>
    </w:rPr>
  </w:style>
  <w:style w:type="character" w:customStyle="1" w:styleId="323">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46</Pages>
  <Words>11858</Words>
  <Characters>12580</Characters>
  <TotalTime>13</TotalTime>
  <ScaleCrop>false</ScaleCrop>
  <LinksUpToDate>false</LinksUpToDate>
  <CharactersWithSpaces>12638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2025-03-10T03:29:00Z</dcterms:created>
  <dc:creator>泙</dc:creator>
  <cp:lastModifiedBy>方寸zth</cp:lastModifiedBy>
  <dcterms:modified xsi:type="dcterms:W3CDTF">2025-11-13T01:36:59Z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eyJoZGlkIjoiYTc2ZGZiNzZiNDVlOGViOWVmM2JhOTY0NGJkNjUyYzgiLCJ1c2VySWQiOiIxMDYzMjMyNjI2In0=</vt:lpwstr>
  </property>
  <property fmtid="{D5CDD505-2E9C-101B-9397-08002B2CF9AE}" pid="3" name="KSOProductBuildVer">
    <vt:lpwstr>2052-12.1.0.23542</vt:lpwstr>
  </property>
  <property fmtid="{D5CDD505-2E9C-101B-9397-08002B2CF9AE}" pid="4" name="ICV">
    <vt:lpwstr>C713BDD1AFB249878FEEC2934D53160A_12</vt:lpwstr>
  </property>
</Properties>
</file>